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13B90" w14:textId="77777777" w:rsidR="003F6ACC" w:rsidRDefault="003F6ACC" w:rsidP="007E700B">
      <w:pPr>
        <w:rPr>
          <w:b/>
          <w:bCs/>
        </w:rPr>
      </w:pPr>
      <w:bookmarkStart w:id="0" w:name="_GoBack"/>
      <w:bookmarkEnd w:id="0"/>
      <w:r>
        <w:rPr>
          <w:b/>
          <w:bCs/>
        </w:rPr>
        <w:t>Recurso de reposición</w:t>
      </w:r>
    </w:p>
    <w:p w14:paraId="5A37ECF2" w14:textId="01BE36AA" w:rsidR="003163E9" w:rsidRDefault="00A52C62" w:rsidP="007E700B">
      <w:r>
        <w:t>Tasa</w:t>
      </w:r>
      <w:r w:rsidR="005D258B">
        <w:t xml:space="preserve"> por prestación del servicio de gestión de residuos de competencia </w:t>
      </w:r>
      <w:r w:rsidR="007C6C5D">
        <w:t>m</w:t>
      </w:r>
      <w:r w:rsidR="005D258B">
        <w:t>unicipal</w:t>
      </w:r>
      <w:r w:rsidR="003163E9" w:rsidRPr="007E700B">
        <w:t xml:space="preserve"> </w:t>
      </w:r>
    </w:p>
    <w:p w14:paraId="3699A856" w14:textId="4F691FD5" w:rsidR="007C6C5D" w:rsidRDefault="007C6C5D" w:rsidP="007E700B">
      <w:r>
        <w:t xml:space="preserve">Ref: </w:t>
      </w:r>
      <w:r w:rsidR="00DE19F9">
        <w:t>[x]</w:t>
      </w:r>
    </w:p>
    <w:p w14:paraId="291CAC66" w14:textId="39BA9336" w:rsidR="00E5617A" w:rsidRDefault="00E5617A" w:rsidP="007E700B">
      <w:r>
        <w:t xml:space="preserve">Calle </w:t>
      </w:r>
      <w:r w:rsidR="00DE19F9">
        <w:t>[x]</w:t>
      </w:r>
    </w:p>
    <w:p w14:paraId="51AA9578" w14:textId="0C6032E2" w:rsidR="00E5617A" w:rsidRDefault="009E61D2" w:rsidP="007E700B">
      <w:r>
        <w:t xml:space="preserve">Referencia catastral: </w:t>
      </w:r>
      <w:r w:rsidR="00DE19F9">
        <w:t>[x]</w:t>
      </w:r>
    </w:p>
    <w:p w14:paraId="6E544CF8" w14:textId="77777777" w:rsidR="009E61D2" w:rsidRDefault="009E61D2" w:rsidP="007E700B"/>
    <w:p w14:paraId="7B35CD41" w14:textId="77777777" w:rsidR="009E61D2" w:rsidRDefault="009E61D2" w:rsidP="007E700B"/>
    <w:p w14:paraId="3AEE636E" w14:textId="003A6169" w:rsidR="009E61D2" w:rsidRDefault="009E61D2" w:rsidP="009E61D2">
      <w:pPr>
        <w:pStyle w:val="Ttulo"/>
      </w:pPr>
      <w:r>
        <w:t>a</w:t>
      </w:r>
      <w:r w:rsidR="00E9773C">
        <w:t xml:space="preserve"> </w:t>
      </w:r>
      <w:r>
        <w:t>la agencia tributaria de madrid</w:t>
      </w:r>
      <w:r w:rsidR="00E9773C">
        <w:t xml:space="preserve"> (ut de gestión de tributos periódicos)</w:t>
      </w:r>
    </w:p>
    <w:p w14:paraId="505284DF" w14:textId="77777777" w:rsidR="00E9773C" w:rsidRDefault="00E9773C" w:rsidP="00E9773C"/>
    <w:p w14:paraId="5026E251" w14:textId="67D52180" w:rsidR="00E9773C" w:rsidRDefault="00DE19F9" w:rsidP="00E9773C">
      <w:pPr>
        <w:rPr>
          <w:b/>
          <w:bCs/>
        </w:rPr>
      </w:pPr>
      <w:r>
        <w:t>[x]</w:t>
      </w:r>
      <w:r w:rsidR="003276F1">
        <w:t xml:space="preserve">, con DNI </w:t>
      </w:r>
      <w:r>
        <w:t>[x]</w:t>
      </w:r>
      <w:r w:rsidR="003276F1">
        <w:t>, con domicilio a efectos de notificaciones situado en Madrid,</w:t>
      </w:r>
      <w:r>
        <w:t xml:space="preserve"> [x]</w:t>
      </w:r>
      <w:r w:rsidR="003276F1">
        <w:t xml:space="preserve"> ante la Agencia Tributaria de Madrid comparece y, como mejor proceda en Derecho, </w:t>
      </w:r>
      <w:r w:rsidR="005C1CF6">
        <w:rPr>
          <w:b/>
          <w:bCs/>
        </w:rPr>
        <w:t>DIGO</w:t>
      </w:r>
    </w:p>
    <w:p w14:paraId="0CFB2B85" w14:textId="77777777" w:rsidR="005C1CF6" w:rsidRDefault="005C1CF6" w:rsidP="00E9773C">
      <w:pPr>
        <w:rPr>
          <w:b/>
          <w:bCs/>
        </w:rPr>
      </w:pPr>
    </w:p>
    <w:p w14:paraId="73D2F7EA" w14:textId="211DC504" w:rsidR="00642BFF" w:rsidRDefault="005C1CF6" w:rsidP="00E9773C">
      <w:r>
        <w:rPr>
          <w:b/>
          <w:bCs/>
        </w:rPr>
        <w:t xml:space="preserve">I.- </w:t>
      </w:r>
      <w:r>
        <w:t xml:space="preserve">Que el día </w:t>
      </w:r>
      <w:r w:rsidR="00DE19F9">
        <w:t>[x]</w:t>
      </w:r>
      <w:r>
        <w:t xml:space="preserve"> de 2025 se me </w:t>
      </w:r>
      <w:r w:rsidR="00DE19F9">
        <w:t>ha notificado</w:t>
      </w:r>
      <w:r>
        <w:t xml:space="preserve"> la liquidación de la tasa por prestación del servicio de gestión de residuos de competencia municipal, del ejercicio 2025, correspondiente al inmueble situado en la calle </w:t>
      </w:r>
      <w:r w:rsidR="00DE19F9">
        <w:t>[x]</w:t>
      </w:r>
      <w:r>
        <w:t xml:space="preserve">, con referencia catastral </w:t>
      </w:r>
      <w:r w:rsidR="00DE19F9">
        <w:t>[x]</w:t>
      </w:r>
      <w:r w:rsidR="00642BFF">
        <w:t xml:space="preserve">, por importe de </w:t>
      </w:r>
      <w:r w:rsidR="00DE19F9">
        <w:t>[x]</w:t>
      </w:r>
      <w:r w:rsidR="00642BFF">
        <w:t xml:space="preserve"> €. El día</w:t>
      </w:r>
      <w:r w:rsidR="00DE19F9">
        <w:t xml:space="preserve"> [x]</w:t>
      </w:r>
      <w:r w:rsidR="00642BFF">
        <w:t xml:space="preserve"> procedí a su pago. Se acompaña a este escrito, como documento nº 1, copia de la liquidación; como documento nº 2, copia de la carta de pago y, como documento número 3, copia del justificante de pago.</w:t>
      </w:r>
    </w:p>
    <w:p w14:paraId="7659FDD6" w14:textId="6A3EAD0F" w:rsidR="00A61E72" w:rsidRDefault="00642BFF" w:rsidP="00A61E72">
      <w:r>
        <w:rPr>
          <w:b/>
          <w:bCs/>
        </w:rPr>
        <w:t xml:space="preserve">II.- </w:t>
      </w:r>
      <w:r>
        <w:t xml:space="preserve">Que, mediante el presente escrito y dentro del plazo previsto al efecto, interpongo </w:t>
      </w:r>
      <w:r>
        <w:rPr>
          <w:b/>
          <w:bCs/>
        </w:rPr>
        <w:t xml:space="preserve">recurso de reposición </w:t>
      </w:r>
      <w:r w:rsidR="00CE7002">
        <w:t xml:space="preserve">contra la citada liquidación </w:t>
      </w:r>
      <w:r w:rsidR="00A61E72">
        <w:t>con arreglo a lo dispuesto en los artículos 123 y 124 de la Ley 39/2015, de 1 de octubre</w:t>
      </w:r>
      <w:r w:rsidR="00F86D46">
        <w:t>, del Procedimiento Administrativo Común de las Administraciones Públicas (LPACAP)</w:t>
      </w:r>
      <w:r w:rsidR="00A61E72">
        <w:t xml:space="preserve"> y a las siguientes</w:t>
      </w:r>
    </w:p>
    <w:p w14:paraId="756BEDE7" w14:textId="77777777" w:rsidR="00A61E72" w:rsidRDefault="00A61E72" w:rsidP="00A61E72">
      <w:pPr>
        <w:pStyle w:val="Ttulo"/>
      </w:pPr>
      <w:r>
        <w:t>alegaciones</w:t>
      </w:r>
    </w:p>
    <w:p w14:paraId="02ABD9D0" w14:textId="77777777" w:rsidR="00FA0867" w:rsidRDefault="00FA0867" w:rsidP="00622B14">
      <w:pPr>
        <w:pStyle w:val="Ttulo1"/>
        <w:numPr>
          <w:ilvl w:val="0"/>
          <w:numId w:val="0"/>
        </w:numPr>
        <w:ind w:left="428"/>
      </w:pPr>
    </w:p>
    <w:p w14:paraId="0BD5934C" w14:textId="3AFB538F" w:rsidR="00622B14" w:rsidRDefault="00622B14" w:rsidP="00622B14">
      <w:pPr>
        <w:pStyle w:val="Ttulo1"/>
      </w:pPr>
      <w:r>
        <w:t xml:space="preserve">Nulidad de la liquidación al calcularse la Tarifa Básica de la Tasa en función del valor catastral del inmueble. </w:t>
      </w:r>
      <w:r w:rsidR="00AB1808">
        <w:t>infracció</w:t>
      </w:r>
      <w:r w:rsidR="00B5135E">
        <w:t>n del principio de quien contamina paga y</w:t>
      </w:r>
      <w:r w:rsidR="00AB1808">
        <w:t xml:space="preserve"> del </w:t>
      </w:r>
      <w:r w:rsidR="00C6728F">
        <w:t>texto refundido de la ley de haciendas locales</w:t>
      </w:r>
      <w:r w:rsidR="00B5135E">
        <w:t>.</w:t>
      </w:r>
    </w:p>
    <w:p w14:paraId="2C97BD65" w14:textId="0D6DB4C6" w:rsidR="00B5135E" w:rsidRDefault="00B5135E" w:rsidP="00B5135E">
      <w:r>
        <w:t xml:space="preserve">El objeto de la Tasa </w:t>
      </w:r>
      <w:r w:rsidRPr="005C62D9">
        <w:t xml:space="preserve">es única y exclusivamente retribuir al Ayuntamiento los gastos y costes que han generado sus servicios técnicos y administrativos </w:t>
      </w:r>
      <w:r>
        <w:t>derivados de “</w:t>
      </w:r>
      <w:r w:rsidRPr="00F142E4">
        <w:rPr>
          <w:i/>
          <w:iCs/>
        </w:rPr>
        <w:t>la prestación del servicio de recepción obligatoria de recogida, transporte y tratamiento de residuos de competencia municipal que se generen o que puedan generarse tanto en bienes inmuebles de uso catastral residencial como no residencial, siempre que en estos últimos se ejerzan o puedan ejercerse actividades comerciales, industriales, profesionales, artísticas, administrativas, de servicios y sanitarias o cualesquiera otras, públicas o privadas”</w:t>
      </w:r>
      <w:r>
        <w:t xml:space="preserve"> (artículo 3 de la Ordenanza Fiscal 8/2024, de 23 de diciembre, reguladora de la Tasa por prestación del servicio de gestión de residuos de competencia municipal. </w:t>
      </w:r>
      <w:hyperlink r:id="rId7" w:history="1">
        <w:r w:rsidRPr="0054389B">
          <w:rPr>
            <w:rStyle w:val="Hipervnculo"/>
          </w:rPr>
          <w:t>ANM2024_154.pdf</w:t>
        </w:r>
      </w:hyperlink>
    </w:p>
    <w:p w14:paraId="4B274954" w14:textId="2AB9ED46" w:rsidR="008318E3" w:rsidRDefault="008318E3" w:rsidP="00B5135E">
      <w:r>
        <w:lastRenderedPageBreak/>
        <w:t>Para ello, la cuota tributaria se calcula teniendo en cuenta una tarifa básica y una tarifa por generación de residuos, al que se aplica un coeficiente de calidad en la separación de residuos.</w:t>
      </w:r>
    </w:p>
    <w:p w14:paraId="5449A501" w14:textId="4155C017" w:rsidR="00B5135E" w:rsidRDefault="008318E3" w:rsidP="00B5135E">
      <w:r>
        <w:t>Respecto a la tarifa básica, e</w:t>
      </w:r>
      <w:r w:rsidR="00B5135E">
        <w:t>l artículo 10 de la Ordenanza</w:t>
      </w:r>
      <w:r>
        <w:t xml:space="preserve"> establece lo siguiente:</w:t>
      </w:r>
    </w:p>
    <w:p w14:paraId="284C04FC" w14:textId="77777777" w:rsidR="00B5135E" w:rsidRDefault="00B5135E" w:rsidP="00B5135E">
      <w:pPr>
        <w:pStyle w:val="Cita"/>
        <w:numPr>
          <w:ilvl w:val="0"/>
          <w:numId w:val="25"/>
        </w:numPr>
      </w:pPr>
      <w:r>
        <w:t>En los inmuebles de uso catastral residencial, la tarifa básica consistirá en una cantidad fija anual, en función del tramo de valor catastral en el que se encuentre el inmueble, de acuerdo con lo establecido en el anexo A.1</w:t>
      </w:r>
    </w:p>
    <w:p w14:paraId="4AA9C638" w14:textId="53421931" w:rsidR="00B5135E" w:rsidRDefault="00F86BCC" w:rsidP="00B5135E">
      <w:r>
        <w:t>Así, el 80% de la cuota tributaria viene determinado por el valor catastral</w:t>
      </w:r>
      <w:r w:rsidR="00B416BA">
        <w:t xml:space="preserve"> del inmueble y tan solo el 20% valor el residuo generado</w:t>
      </w:r>
      <w:r w:rsidR="00B95D0F">
        <w:t xml:space="preserve"> y lo hace ignorando los residuos realmente generados por el sujeto pasivo de la tasa.</w:t>
      </w:r>
    </w:p>
    <w:p w14:paraId="4882E946" w14:textId="08FD1257" w:rsidR="000F6FAC" w:rsidRDefault="000F6FAC" w:rsidP="00B5135E">
      <w:r>
        <w:t xml:space="preserve">Con ello, </w:t>
      </w:r>
      <w:r w:rsidR="009535BD">
        <w:t>la Ordenanza que ampara la liquidación recurrida incurre en nulidad de pleno derecho porque</w:t>
      </w:r>
      <w:r>
        <w:t xml:space="preserve">: </w:t>
      </w:r>
    </w:p>
    <w:p w14:paraId="3FB2BC13" w14:textId="36D76094" w:rsidR="000F6FAC" w:rsidRDefault="000F6FAC" w:rsidP="000F6FAC">
      <w:pPr>
        <w:pStyle w:val="Prrafodelista"/>
        <w:numPr>
          <w:ilvl w:val="0"/>
          <w:numId w:val="27"/>
        </w:numPr>
      </w:pPr>
      <w:r>
        <w:t xml:space="preserve">Por una parte, </w:t>
      </w:r>
      <w:r w:rsidR="00A574B5">
        <w:t xml:space="preserve">la tasa se desvincula </w:t>
      </w:r>
      <w:r w:rsidR="00162FB8">
        <w:t>totalmente de la actuación administrativa concreta e individualizada</w:t>
      </w:r>
      <w:r w:rsidR="00FA64FA">
        <w:t xml:space="preserve">. </w:t>
      </w:r>
      <w:r w:rsidR="00F17F74">
        <w:t>Se cobra la tasa se preste el servicio administrativo o no y con independencia de su coste.</w:t>
      </w:r>
    </w:p>
    <w:p w14:paraId="59F64195" w14:textId="3F61D032" w:rsidR="00F17F74" w:rsidRDefault="00B602DF" w:rsidP="000F6FAC">
      <w:pPr>
        <w:pStyle w:val="Prrafodelista"/>
        <w:numPr>
          <w:ilvl w:val="0"/>
          <w:numId w:val="27"/>
        </w:numPr>
      </w:pPr>
      <w:r>
        <w:t>Por otra, se infringe el principio de quien contamina paga,</w:t>
      </w:r>
      <w:r w:rsidR="00B811D0">
        <w:t xml:space="preserve"> que es el prin</w:t>
      </w:r>
      <w:r w:rsidR="005B0344">
        <w:t>cipio que justifica la creación de esta tasa.</w:t>
      </w:r>
    </w:p>
    <w:p w14:paraId="53AA4493" w14:textId="77777777" w:rsidR="006B642B" w:rsidRDefault="006B642B" w:rsidP="006B642B">
      <w:pPr>
        <w:pStyle w:val="Prrafodelista"/>
        <w:ind w:left="1070"/>
      </w:pPr>
    </w:p>
    <w:p w14:paraId="56344612" w14:textId="2D763FF6" w:rsidR="00072DE8" w:rsidRDefault="00AB71D4" w:rsidP="00AB71D4">
      <w:pPr>
        <w:pStyle w:val="Ttulo2"/>
      </w:pPr>
      <w:r>
        <w:t>in</w:t>
      </w:r>
      <w:r w:rsidR="00AB633F">
        <w:t>fracción del carácter finalista de la tasa y del principio de equivalencia. Vulneración del principio constitucional de reserva de ley.</w:t>
      </w:r>
    </w:p>
    <w:p w14:paraId="34964E36" w14:textId="065BE852" w:rsidR="00D25E69" w:rsidRDefault="00D25E69" w:rsidP="00D25E69">
      <w:r>
        <w:t>La potestad municipal, en cuanto a la exacción de tasas tiene como finalidad obtener el valor de la prestación municipal recibida, de modo que constituye un uso desviado de su finalidad, como es el caso que analizamos, la consecución de fines distintos para los que legalmente está prevista la exacción de dicha tasa.</w:t>
      </w:r>
    </w:p>
    <w:p w14:paraId="054338D9" w14:textId="77777777" w:rsidR="00D25E69" w:rsidRDefault="00D25E69" w:rsidP="00D25E69">
      <w:pPr>
        <w:rPr>
          <w:i/>
          <w:iCs/>
        </w:rPr>
      </w:pPr>
      <w:r>
        <w:t>La jurisprudencia se ha pronunciado al respecto en numerosas ocasiones, como las sentencias del Tribunal Supremo de 18 de octubre de 1994 y de 20 de marzo de 1996, de modo que “</w:t>
      </w:r>
      <w:r w:rsidRPr="008C5289">
        <w:rPr>
          <w:i/>
          <w:iCs/>
        </w:rPr>
        <w:t>la Tasa no es un tributo para la satisfacción de necesidades públicas indefinidas sino un tributo causalmente vinculado a un coste concreto y determinado…de modo que, la absoluta desproporción entre las magnitudes que representan los ingresos y los gastos puede ser indicativo de una desviación del límite general del coste.”</w:t>
      </w:r>
    </w:p>
    <w:p w14:paraId="43467365" w14:textId="1766F91A" w:rsidR="00C95771" w:rsidRDefault="00D25E69" w:rsidP="00B5135E">
      <w:r>
        <w:t>En la Ordenanza se indica que el objetivo de la tasa es la contraprestación del coste del servicio de gestión de residuos por parte del Ayuntamiento de Madrid. Sin embargo, la determinación de la cuota tributaria se aparta total y deliberadamente de la prestación de</w:t>
      </w:r>
      <w:r w:rsidR="003B4654">
        <w:t xml:space="preserve"> dicho servicio, infringiendo el artículo 20 del texto refundido de la Ley </w:t>
      </w:r>
      <w:r w:rsidR="00973FAC">
        <w:t>Reguladora de las Haciendas Locales (LRHL), además del artículo 24 (dado qu</w:t>
      </w:r>
      <w:r w:rsidR="00C95771">
        <w:t>e solo un 20% de la tasa está relacionado con residuos, pero su determinación se aparta de la generación individual de estos) y el artículo 26 (porque la tasa se cobra casi íntegramente a quienes no generan residuos). Y, con todo ello, se pone de manifiesto que</w:t>
      </w:r>
      <w:r w:rsidR="00600BD9">
        <w:t xml:space="preserve"> la finalidad de la tasa es puramente económica y, por lo tanto, que su naturaleza jurídica es la de un impuesto no amparado por el artículo 20 TRLHL, infringiendo el principio de reserva de ley del artículo 31 de la Constitución.</w:t>
      </w:r>
    </w:p>
    <w:p w14:paraId="150B6541" w14:textId="77777777" w:rsidR="00136941" w:rsidRDefault="00136941" w:rsidP="00136941">
      <w:r>
        <w:t xml:space="preserve">Conforme al citado artículo 10 de la Ordenanza, la tarifa básica se fija </w:t>
      </w:r>
      <w:r>
        <w:rPr>
          <w:i/>
          <w:iCs/>
        </w:rPr>
        <w:t>“en función del tramo de valor catastral”,</w:t>
      </w:r>
      <w:r>
        <w:t xml:space="preserve"> fijándose ésta en el Anexo A.1. Según dicho Anexo:</w:t>
      </w:r>
    </w:p>
    <w:p w14:paraId="0DFBEEF8" w14:textId="0CCEBB2E" w:rsidR="00136941" w:rsidRDefault="00136941" w:rsidP="00B5135E">
      <w:r w:rsidRPr="00681642">
        <w:rPr>
          <w:noProof/>
        </w:rPr>
        <w:lastRenderedPageBreak/>
        <w:drawing>
          <wp:inline distT="0" distB="0" distL="0" distR="0" wp14:anchorId="71EF8ED4" wp14:editId="0E4740EC">
            <wp:extent cx="4515082" cy="2019404"/>
            <wp:effectExtent l="0" t="0" r="0" b="0"/>
            <wp:docPr id="18625912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91208" name="Picture 1" descr="A screenshot of a document&#10;&#10;AI-generated content may be incorrect."/>
                    <pic:cNvPicPr/>
                  </pic:nvPicPr>
                  <pic:blipFill>
                    <a:blip r:embed="rId8"/>
                    <a:stretch>
                      <a:fillRect/>
                    </a:stretch>
                  </pic:blipFill>
                  <pic:spPr>
                    <a:xfrm>
                      <a:off x="0" y="0"/>
                      <a:ext cx="4515082" cy="2019404"/>
                    </a:xfrm>
                    <a:prstGeom prst="rect">
                      <a:avLst/>
                    </a:prstGeom>
                  </pic:spPr>
                </pic:pic>
              </a:graphicData>
            </a:graphic>
          </wp:inline>
        </w:drawing>
      </w:r>
    </w:p>
    <w:p w14:paraId="413C7094" w14:textId="0495C843" w:rsidR="00136941" w:rsidRDefault="00136941" w:rsidP="00B5135E">
      <w:r w:rsidRPr="00BF3CD1">
        <w:rPr>
          <w:noProof/>
        </w:rPr>
        <w:drawing>
          <wp:inline distT="0" distB="0" distL="0" distR="0" wp14:anchorId="01306D03" wp14:editId="39D2C82F">
            <wp:extent cx="4502381" cy="2292468"/>
            <wp:effectExtent l="0" t="0" r="0" b="0"/>
            <wp:docPr id="910077865" name="Picture 1" descr="A white sheet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77865" name="Picture 1" descr="A white sheet with numbers and symbols&#10;&#10;AI-generated content may be incorrect."/>
                    <pic:cNvPicPr/>
                  </pic:nvPicPr>
                  <pic:blipFill>
                    <a:blip r:embed="rId9"/>
                    <a:stretch>
                      <a:fillRect/>
                    </a:stretch>
                  </pic:blipFill>
                  <pic:spPr>
                    <a:xfrm>
                      <a:off x="0" y="0"/>
                      <a:ext cx="4502381" cy="2292468"/>
                    </a:xfrm>
                    <a:prstGeom prst="rect">
                      <a:avLst/>
                    </a:prstGeom>
                  </pic:spPr>
                </pic:pic>
              </a:graphicData>
            </a:graphic>
          </wp:inline>
        </w:drawing>
      </w:r>
    </w:p>
    <w:p w14:paraId="2E705439" w14:textId="77777777" w:rsidR="00136941" w:rsidRDefault="00136941" w:rsidP="00B5135E"/>
    <w:p w14:paraId="6D7E829C" w14:textId="733FE197" w:rsidR="004B63B5" w:rsidRDefault="00136941" w:rsidP="00112BA7">
      <w:r>
        <w:t xml:space="preserve">Así, </w:t>
      </w:r>
      <w:r w:rsidR="004B63B5">
        <w:t>l</w:t>
      </w:r>
      <w:r w:rsidR="00112BA7">
        <w:t xml:space="preserve">a tarifa básica de la tasa se determina en función del valor catastral del inmueble, </w:t>
      </w:r>
      <w:r w:rsidR="004B63B5">
        <w:t>lo que hace que el 80% de la tasa se desvincule</w:t>
      </w:r>
      <w:r w:rsidR="00103E3C">
        <w:t xml:space="preserve"> del servicio municipal prestado</w:t>
      </w:r>
      <w:r w:rsidR="00B70EC7">
        <w:t xml:space="preserve">. Sin embargo, el citado artículo 20 TRLHL </w:t>
      </w:r>
      <w:r w:rsidR="003C7B18">
        <w:t xml:space="preserve">únicamente ampara y se considera cumplido el principio de reserva de ley, respecto de los servicios allí recogidos y efectivamente prestados. </w:t>
      </w:r>
    </w:p>
    <w:p w14:paraId="0154A853" w14:textId="1326E355" w:rsidR="006240A2" w:rsidRDefault="003C7B18" w:rsidP="006240A2">
      <w:r>
        <w:t xml:space="preserve">Si la determinación de la </w:t>
      </w:r>
      <w:r w:rsidR="00E96E88">
        <w:t>cuota, se aparta de (i) la efectiva prestación del servicio y (ii) de su coste real, se infringe dicho artículo.</w:t>
      </w:r>
      <w:r w:rsidR="006240A2">
        <w:t xml:space="preserve"> Al apartarse la tarifa básica de la generación de residuos, para centrarse en el valor del inmueble, se produce una clara desvinculación respecto del servicio prestado. Además, esta desvinculación no solo se produce respecto a la determinación de la cuota, sino también, en su devengo.</w:t>
      </w:r>
    </w:p>
    <w:p w14:paraId="27CA1F44" w14:textId="18B41245" w:rsidR="006240A2" w:rsidRDefault="006240A2" w:rsidP="006240A2">
      <w:r>
        <w:t>El artículo 14 de la Ordenanza establece lo siguiente:</w:t>
      </w:r>
    </w:p>
    <w:p w14:paraId="222FAF9A" w14:textId="1C4499C6" w:rsidR="006240A2" w:rsidRDefault="006240A2" w:rsidP="006240A2">
      <w:pPr>
        <w:pStyle w:val="Cita"/>
      </w:pPr>
      <w:r>
        <w:t>Las viviendas que se encuentren vacías y los locales en los que no se desarrolle ninguna actividad solo abonarán la tarifa básica.</w:t>
      </w:r>
    </w:p>
    <w:p w14:paraId="2E5881AC" w14:textId="77777777" w:rsidR="00BE1850" w:rsidRDefault="006240A2" w:rsidP="00B61E7C">
      <w:r>
        <w:t>Pero es que la jurisprudencia ha dejado muy claro que, si no se presta el servicio, no se puede imponer una tasa. Ni siquiera por la parte básica, que es el 80% de la tasa.</w:t>
      </w:r>
      <w:r w:rsidR="00B61E7C">
        <w:t xml:space="preserve"> Así se establece el artículo 26.3 del TRLHL que establece que </w:t>
      </w:r>
    </w:p>
    <w:p w14:paraId="44B6BB3E" w14:textId="2D201063" w:rsidR="00B61E7C" w:rsidRPr="00622B14" w:rsidRDefault="00B61E7C" w:rsidP="00BE1850">
      <w:pPr>
        <w:pStyle w:val="Cita"/>
      </w:pPr>
      <w:r w:rsidRPr="006E1EFA">
        <w:t>cuando por causas no imputables al sujeto pasivo, el servicio público, la actividad administrativa o el derecho a la utilización o aprovechamiento del dominio público no se preste o desarrolle, procederá la devolución del importe correspondiente.</w:t>
      </w:r>
    </w:p>
    <w:p w14:paraId="61AA36F8" w14:textId="313A0E32" w:rsidR="006240A2" w:rsidRDefault="006240A2" w:rsidP="00E96E88"/>
    <w:p w14:paraId="30F9514F" w14:textId="29AE9B85" w:rsidR="00E96E88" w:rsidRDefault="00B61E7C" w:rsidP="00E96E88">
      <w:r>
        <w:lastRenderedPageBreak/>
        <w:t>En relación con lo anterior</w:t>
      </w:r>
      <w:r w:rsidR="00E96E88">
        <w:t>, cabe citar la sentencia 810/2010, del Tribunal Supremo, de 5 de febrero, en la que se declara que:</w:t>
      </w:r>
    </w:p>
    <w:p w14:paraId="67B11FDC" w14:textId="77777777" w:rsidR="00E96E88" w:rsidRDefault="00E96E88" w:rsidP="00E96E88">
      <w:pPr>
        <w:pStyle w:val="Cita"/>
      </w:pPr>
      <w:r>
        <w:t xml:space="preserve">En todo caso, lo que interesa señalar desde la perspectiva del artículo 20 del TRLRHL es que </w:t>
      </w:r>
      <w:r w:rsidRPr="009535BD">
        <w:rPr>
          <w:b/>
          <w:bCs/>
        </w:rPr>
        <w:t>no cabe la exigencia de tasas cuando la satisfacción de la prestación se desvincula totalmente de una actuación administrativa concreta e individualizada.</w:t>
      </w:r>
      <w:r>
        <w:t xml:space="preserve"> No se olvide que, como tiene declarado la sentencia de este Tribunal de 7 de junio de 1997 EDJ 1997/5069 “ni siquiera la mera existencia de un servicio municipal es suficiente para constituir a una persona en sujeto pasivo de la tasa establecida para su financiación, si el servicio no se presta de modo que aquélla pueda considerarse especialmente afectada por aquél, en forma de beneficio efectivo o provocación por el interesado de la actividad municipal, pues sólo con esas características puede ser un servicio munici</w:t>
      </w:r>
      <w:r>
        <w:softHyphen/>
        <w:t>pal legitimador de la exigencia de la tasa”. […]</w:t>
      </w:r>
    </w:p>
    <w:p w14:paraId="112024CC" w14:textId="77777777" w:rsidR="00E96E88" w:rsidRPr="000419A6" w:rsidRDefault="00E96E88" w:rsidP="00E96E88">
      <w:pPr>
        <w:pStyle w:val="Cita"/>
        <w:rPr>
          <w:u w:val="single"/>
        </w:rPr>
      </w:pPr>
      <w:r>
        <w:t xml:space="preserve">En los casos de desistimiento del interesado antes de que la resolución administrativa se dicte, el reintegro del 50% de la tasa satisfecha resulta conforma con lo que más arriba se ha dicho. </w:t>
      </w:r>
      <w:r>
        <w:rPr>
          <w:u w:val="single"/>
        </w:rPr>
        <w:t>Distinto es que la actividad municipal, técnica o administrativa, no haya llegado a prestarse por causas no imputables al sujeto pasivo, en cuyo caso nos encontramos antes un caso de falta de devengo y exigibilidad de la tasa (art. 5.2 de la Ordenanza, en relación con el art.26.3 de la Ley Reguladora de las Haciendas Locales) que determina la devolución del importe correspondiente. Nos encontramos ante un supuesto de reembolso, no de devolución de ingresos indebidos. El reembolso debe realizarse de oficio, con el devengo de los correspondientes intereses de demora”.</w:t>
      </w:r>
    </w:p>
    <w:p w14:paraId="193072D7" w14:textId="77777777" w:rsidR="00E96E88" w:rsidRDefault="00E96E88" w:rsidP="00E96E88">
      <w:r>
        <w:t>En este mismo sentido se pronunció el Tribunal Superior de Justicia de Madrid, en su sentencia de 26 de febrero de 2014.</w:t>
      </w:r>
    </w:p>
    <w:p w14:paraId="5BB6917B" w14:textId="035E5BDB" w:rsidR="006240A2" w:rsidRDefault="00CF2EC6" w:rsidP="00112BA7">
      <w:r>
        <w:t>Adicionalmente y no por ello menos importante, debemos alegar que la liquidación impugnada y, por ende, la Ordenanza Fiscal tampoco cumplen con el principio de equivalencia que preside la implantación de las tasas. El artículo 19 de la Ley 8/1989, de Tasas y Precios Públicos determina que el importe de las tasas se fije tomando como referencia el valor de mercado real o previsible por la prestación del servicio o realización de la actividad de que se trate, o, en su defecto, del valor de la prestación recibida, sin poder exceder de los mismos, señalándose los extremos que para tal determinación se deberán tomar en consideración.  En análogo sentido de pronuncia el Texto Refundido de la Ley Reguladora de las Haciendas Locales, aprobado por Real Decreto Legislativo 2/2004, de 5 de marzo, en sus artículos 23 y siguientes.</w:t>
      </w:r>
    </w:p>
    <w:p w14:paraId="2587AFC2" w14:textId="063D903B" w:rsidR="00CF2EC6" w:rsidRDefault="00CF2EC6" w:rsidP="00CF2EC6">
      <w:r>
        <w:t xml:space="preserve">Conforme a lo dispuesto en el artículo 24.2 </w:t>
      </w:r>
      <w:r w:rsidRPr="00C258C6">
        <w:t xml:space="preserve">del Texto Refundido de Ley Reguladora de las Haciendas Locales (TRLRHL) establece que </w:t>
      </w:r>
      <w:r w:rsidRPr="00C258C6">
        <w:rPr>
          <w:i/>
          <w:iCs/>
        </w:rPr>
        <w:t>“en general, y con arreglo a lo previsto en el párrafo siguiente, el importe de las tasas por la prestación de un servicio o por la realización de una actividad no podrá exceder, en su conjunto, del coste real o previsible del servicio o actividad de que se trate, o, en su defecto, del valor de la prestación recibida”.</w:t>
      </w:r>
    </w:p>
    <w:p w14:paraId="7062732A" w14:textId="29F69A6C" w:rsidR="00CF2EC6" w:rsidRDefault="00CF2EC6" w:rsidP="00CF2EC6">
      <w:r>
        <w:t>En este caso, dado que no se conoce el coste real o previsible del servicio, porque no se ha tenido en cuenta para determinar la cuota tributaria, se está dejando vacío de contenido el artículo 24.2 de la citada ley. Y no posible argüir que no se sabe si se cumple o se incumple, porque</w:t>
      </w:r>
      <w:r w:rsidR="00082C18">
        <w:t>, teniendo en cuenta que el 80% de la tasa ignora dicho coste, ya se infringe el artículo.</w:t>
      </w:r>
    </w:p>
    <w:p w14:paraId="0BE912EA" w14:textId="28C66F5F" w:rsidR="00CF2EC6" w:rsidRDefault="00F86D85" w:rsidP="00CF2EC6">
      <w:r>
        <w:t>El establecimiento de</w:t>
      </w:r>
      <w:r w:rsidR="00CF2EC6">
        <w:t xml:space="preserve"> una </w:t>
      </w:r>
      <w:r w:rsidR="00082C18">
        <w:t xml:space="preserve">tarifa </w:t>
      </w:r>
      <w:r w:rsidR="00CF2EC6">
        <w:t>en concepto de generación de residuos y un coeficiente de calidad en la separación de residuos</w:t>
      </w:r>
      <w:r>
        <w:t xml:space="preserve"> (20% de la tasa)</w:t>
      </w:r>
      <w:r w:rsidR="0059509C">
        <w:t xml:space="preserve"> no sana dicho vicio.</w:t>
      </w:r>
    </w:p>
    <w:p w14:paraId="6C6BCF75" w14:textId="77777777" w:rsidR="0086464A" w:rsidRDefault="0086464A" w:rsidP="0086464A">
      <w:r>
        <w:t>En relación a lo anteriormente referido, se ha expresado con claridad el Tribunal Supremo en la sentencia de 12 de marzo de 1997 (RJ 1997\1788):</w:t>
      </w:r>
    </w:p>
    <w:p w14:paraId="7F02BD34" w14:textId="77777777" w:rsidR="0086464A" w:rsidRPr="001D0B99" w:rsidRDefault="0086464A" w:rsidP="0086464A">
      <w:pPr>
        <w:rPr>
          <w:i/>
          <w:iCs/>
        </w:rPr>
      </w:pPr>
      <w:r w:rsidRPr="001D0B99">
        <w:rPr>
          <w:i/>
          <w:iCs/>
        </w:rPr>
        <w:t xml:space="preserve">“El Ayuntamiento demandado se opone a la pretensión ejercitada en la demanda aduciendo, por un lado, que, al corresponder las liquidaciones impugnadas a licencias solicitadas el 4 de julio de 1986, la normativa aplicable no sería el Real Decreto Legislativo 781/1986, de 18 abril </w:t>
      </w:r>
      <w:r w:rsidRPr="001D0B99">
        <w:rPr>
          <w:i/>
          <w:iCs/>
        </w:rPr>
        <w:lastRenderedPageBreak/>
        <w:t xml:space="preserve">( RCL 1986\1238 , 2271 y 3551), invocado en la demanda, sino del Real Decreto 3250/1976, de 30 diciembre ( RCL 1977\224 y ApNDL 6999), y, de otro, que las liquidaciones referidas se limitan a aplicar el tipo señalado en la Ordenanza, constituyendo la legalidad de ésta un tema ajeno al presente proceso. Sin embargo, este planteamiento de la parte demandada no resulta convincente: independientemente de que la parte actora no sólo alega el Real Decreto Legislativo de 18 abril 1986 sino también el Real Decreto de 30 diciembre 1976, tal precisión </w:t>
      </w:r>
      <w:r w:rsidRPr="001D0B99">
        <w:rPr>
          <w:b/>
          <w:bCs/>
          <w:i/>
          <w:iCs/>
        </w:rPr>
        <w:t>es intrascendente puesto que la prohibición de que el importe de las tasas por la prestación de un servicio sobrepase el coste real o previsible del mismo no es una novedad del Real Decreto Legislativo 781/1986, ni tampoco el Real Decreto 3250/1976, sino que responde a una larga tradición legislativa que, acorde con la propia naturaleza de las tasas, tiene claro reflejo en el art. 370 del Estatuto Municipal de 1924 y art. 42 de la Ley de Régimen Local de 1955 ( RCL 1956\74 , 101 y NDL 611) y continúa en el art. 18 de la Ley 48/1966, de 23 julio ( RCL 1966\1393 y NDL 15298), arts. 21 del Real Decreto 3250/1976, de 30 diciembre, y 18 del Real Decreto-ley 11/1979, de 20 julio ( RCL 1979\1829 y ApNDL 7006) (vigente en la fecha en que se aprobó la Ordenanza de 1986), art. 214 del Real Decreto Legislativo de 18 abril 1986 y art. 24 de la Ley de Haciendas Locales de 28 diciembre 1988 ( RCL 1988\2607 y RCL 1989\1851). Tampoco el análisis de la legalidad de la Ordenanza fiscal reguladora de las tasas por licencia de obras vigente en 1986 es materia ajena al presente proceso, sino que es precisamente presupuesto para su resolución, pues la impugnación de la liquidación practicada se funda en la ilegalidad de la norma que ha sido aplicada</w:t>
      </w:r>
      <w:r w:rsidRPr="001D0B99">
        <w:rPr>
          <w:i/>
          <w:iCs/>
        </w:rPr>
        <w:t>, tal como permite el art. 39.2 de la Ley reguladora de esta Jurisdicción ( RCL 1956\1890 y NDL 18435) por lo que, aunque el Fallo de la sentencia haya de limitarse a la liquidación impugnada, la conformidad o disconformidad a Derecho de la Ordenanza en cuya virtud aquélla ha sido practicada constituye precisamente la razón de la decisión que se adopte”.</w:t>
      </w:r>
    </w:p>
    <w:p w14:paraId="27215DEA" w14:textId="77777777" w:rsidR="0086464A" w:rsidRPr="0086464A" w:rsidRDefault="0086464A" w:rsidP="0086464A">
      <w:pPr>
        <w:rPr>
          <w:b/>
          <w:bCs/>
          <w:i/>
          <w:iCs/>
        </w:rPr>
      </w:pPr>
      <w:r>
        <w:t xml:space="preserve">En la misma dirección se expresa la sentencia de 25 de noviembre de 2002 (JT 2003/817), de la Sala de lo Contencioso-Administrativo del Tribunal Superior de Justicia de Andalucía, haciendo suya la doctrina sentada por el Tribunal Supremo, en sentencia de 22 de mayo de 1988 (RJ 1988/3874), en la que resuelve que </w:t>
      </w:r>
      <w:r w:rsidRPr="00B34B72">
        <w:rPr>
          <w:i/>
          <w:iCs/>
        </w:rPr>
        <w:t xml:space="preserve">“aunque el artículo 24.2 de la LHL afirme que: «La cuota tributaria consistirá, según disponga la correspondiente Ordenanza Fiscal, en: a) La cantidad resultante de aplicar una tarifa», como parece que sucede en el caso presente en el que sobre la suma del presupuesto se aplica un 4% para obtener la deuda tributaria, es claro que ese proceder de la ordenanza correspondiente no puede servir para determinar la cuantía de la tasa porque </w:t>
      </w:r>
      <w:r w:rsidRPr="0086464A">
        <w:rPr>
          <w:b/>
          <w:bCs/>
          <w:i/>
          <w:iCs/>
        </w:rPr>
        <w:t>no responde a los criterios fijados por el legislador ya que de ser así no estaríamos en presencia de la clase de tributo que es la tasa sino que lo que se hubiera liquidado a la recurrente hubiera sido un impuesto, desnaturalizando así la voluntad del legislador”.</w:t>
      </w:r>
    </w:p>
    <w:p w14:paraId="564EDBF3" w14:textId="3F808911" w:rsidR="0086464A" w:rsidRDefault="0086464A" w:rsidP="0086464A">
      <w:r>
        <w:t xml:space="preserve">En este sentido, el Tribunal Supremo, al interpretar </w:t>
      </w:r>
      <w:r w:rsidR="004407C7">
        <w:t>el artículo 24.2 del TRLHL</w:t>
      </w:r>
      <w:r>
        <w:t xml:space="preserve"> manifiesta que “</w:t>
      </w:r>
      <w:r w:rsidRPr="00995F4B">
        <w:rPr>
          <w:i/>
          <w:iCs/>
        </w:rPr>
        <w:t>recoge un principio de autofinanciación de tasas, según el cual el coste del mantenimiento se configura como una cifra que debe ser alcanzada con los ingresos derivados de la recaudación de las tasas, pero también como un tope que no puede ser sobrepasado por ellos, pues la tasa no es un tributo para la satisfacción de necesidades públicas indefinidas sino un tributo causalmente vinculado a un coste concreto y determinado” (</w:t>
      </w:r>
      <w:r>
        <w:t>STS 18 octubre de 1994).</w:t>
      </w:r>
    </w:p>
    <w:p w14:paraId="2A58EDF1" w14:textId="77777777" w:rsidR="0086464A" w:rsidRPr="00504060" w:rsidRDefault="0086464A" w:rsidP="0086464A">
      <w:pPr>
        <w:rPr>
          <w:i/>
          <w:iCs/>
        </w:rPr>
      </w:pPr>
      <w:r>
        <w:t>La ya referida sentencia del Tribunal Supremo de 12 de marzo de 1997 es del mismo tenor cuando establece que “</w:t>
      </w:r>
      <w:r w:rsidRPr="00504060">
        <w:rPr>
          <w:i/>
          <w:iCs/>
        </w:rPr>
        <w:t>la efectividad del referido principio de autofinanciación en las tasas impone a la Administración municipal la obligación de realizar un cálculo del importe de los gastos que comporta el servicio y de los rendimientos del mismo, de modo que se logre la debida ecuación entre la suma de las tasas percibidas y el importe de aquéllos, y, así, el art. 18.2 del Real Decreto-ley 11/1979 establece que &lt;&lt;en el expediente de modificación de tarifas se incluirá una evaluación económica y financiera del coste y rendimientos de los respectivos servicios y actividades&gt;&gt;".</w:t>
      </w:r>
    </w:p>
    <w:p w14:paraId="6536EDEB" w14:textId="77777777" w:rsidR="00AF69E8" w:rsidRDefault="0086464A" w:rsidP="00772555">
      <w:r>
        <w:lastRenderedPageBreak/>
        <w:t>En lógica consecuencia con lo anterior, el mismo Tribunal Supremo, en sentencia de 20 de marzo de 1996, expresa que “</w:t>
      </w:r>
      <w:r w:rsidRPr="00504060">
        <w:rPr>
          <w:i/>
          <w:iCs/>
        </w:rPr>
        <w:t xml:space="preserve">la </w:t>
      </w:r>
      <w:r w:rsidRPr="00504060">
        <w:rPr>
          <w:b/>
          <w:bCs/>
          <w:i/>
          <w:iCs/>
        </w:rPr>
        <w:t>equivalencia</w:t>
      </w:r>
      <w:r w:rsidRPr="00504060">
        <w:rPr>
          <w:i/>
          <w:iCs/>
        </w:rPr>
        <w:t xml:space="preserve"> entre el importe de las tasas y el coste del servicio ha de referirse al conjunto de éste y al total de las percepciones razonablemente previsibles</w:t>
      </w:r>
      <w:r>
        <w:t>”.</w:t>
      </w:r>
    </w:p>
    <w:p w14:paraId="6CA1D2DB" w14:textId="443538A7" w:rsidR="00772555" w:rsidRDefault="00AF69E8" w:rsidP="00772555">
      <w:r>
        <w:t>También cabe destacar</w:t>
      </w:r>
      <w:r w:rsidR="00B36D85">
        <w:t xml:space="preserve"> lo expresado por</w:t>
      </w:r>
      <w:r w:rsidR="00772555">
        <w:t xml:space="preserve"> el Tribunal Supremo en la sentencia de 12 de marzo de 1997 (RJ 1997\1788):</w:t>
      </w:r>
    </w:p>
    <w:p w14:paraId="172311F3" w14:textId="77777777" w:rsidR="00772555" w:rsidRPr="001D0B99" w:rsidRDefault="00772555" w:rsidP="00772555">
      <w:pPr>
        <w:rPr>
          <w:i/>
          <w:iCs/>
        </w:rPr>
      </w:pPr>
      <w:r w:rsidRPr="001D0B99">
        <w:rPr>
          <w:i/>
          <w:iCs/>
        </w:rPr>
        <w:t xml:space="preserve">“El Ayuntamiento demandado se opone a la pretensión ejercitada en la demanda aduciendo, por un lado, que, al corresponder las liquidaciones impugnadas a licencias solicitadas el 4 de julio de 1986, la normativa aplicable no sería el Real Decreto Legislativo 781/1986, de 18 abril ( RCL 1986\1238 , 2271 y 3551), invocado en la demanda, sino del Real Decreto 3250/1976, de 30 diciembre ( RCL 1977\224 y ApNDL 6999), y, de otro, que las liquidaciones referidas se limitan a aplicar el tipo señalado en la Ordenanza, constituyendo la legalidad de ésta un tema ajeno al presente proceso. Sin embargo, este planteamiento de la parte demandada no resulta convincente: independientemente de que la parte actora no sólo alega el Real Decreto Legislativo de 18 abril 1986 sino también el Real Decreto de 30 diciembre 1976, tal precisión </w:t>
      </w:r>
      <w:r w:rsidRPr="001D0B99">
        <w:rPr>
          <w:b/>
          <w:bCs/>
          <w:i/>
          <w:iCs/>
        </w:rPr>
        <w:t>es intrascendente puesto que la prohibición de que el importe de las tasas por la prestación de un servicio sobrepase el coste real o previsible del mismo no es una novedad del Real Decreto Legislativo 781/1986, ni tampoco el Real Decreto 3250/1976, sino que responde a una larga tradición legislativa que, acorde con la propia naturaleza de las tasas, tiene claro reflejo en el art. 370 del Estatuto Municipal de 1924 y art. 42 de la Ley de Régimen Local de 1955 ( RCL 1956\74 , 101 y NDL 611) y continúa en el art. 18 de la Ley 48/1966, de 23 julio ( RCL 1966\1393 y NDL 15298), arts. 21 del Real Decreto 3250/1976, de 30 diciembre, y 18 del Real Decreto-ley 11/1979, de 20 julio ( RCL 1979\1829 y ApNDL 7006) (vigente en la fecha en que se aprobó la Ordenanza de 1986), art. 214 del Real Decreto Legislativo de 18 abril 1986 y art. 24 de la Ley de Haciendas Locales de 28 diciembre 1988 ( RCL 1988\2607 y RCL 1989\1851). Tampoco el análisis de la legalidad de la Ordenanza fiscal reguladora de las tasas por licencia de obras vigente en 1986 es materia ajena al presente proceso, sino que es precisamente presupuesto para su resolución, pues la impugnación de la liquidación practicada se funda en la ilegalidad de la norma que ha sido aplicada</w:t>
      </w:r>
      <w:r w:rsidRPr="001D0B99">
        <w:rPr>
          <w:i/>
          <w:iCs/>
        </w:rPr>
        <w:t>, tal como permite el art. 39.2 de la Ley reguladora de esta Jurisdicción ( RCL 1956\1890 y NDL 18435) por lo que, aunque el Fallo de la sentencia haya de limitarse a la liquidación impugnada, la conformidad o disconformidad a Derecho de la Ordenanza en cuya virtud aquélla ha sido practicada constituye precisamente la razón de la decisión que se adopte”.</w:t>
      </w:r>
    </w:p>
    <w:p w14:paraId="37744A74" w14:textId="77777777" w:rsidR="00772555" w:rsidRPr="0086464A" w:rsidRDefault="00772555" w:rsidP="00772555">
      <w:pPr>
        <w:rPr>
          <w:b/>
          <w:bCs/>
          <w:i/>
          <w:iCs/>
        </w:rPr>
      </w:pPr>
      <w:r>
        <w:t xml:space="preserve">En la misma dirección se expresa la sentencia de 25 de noviembre de 2002 (JT 2003/817), de la Sala de lo Contencioso-Administrativo del Tribunal Superior de Justicia de Andalucía, haciendo suya la doctrina sentada por el Tribunal Supremo, en sentencia de 22 de mayo de 1988 (RJ 1988/3874), en la que resuelve que </w:t>
      </w:r>
      <w:r w:rsidRPr="00B34B72">
        <w:rPr>
          <w:i/>
          <w:iCs/>
        </w:rPr>
        <w:t xml:space="preserve">“aunque el artículo 24.2 de la LHL afirme que: «La cuota tributaria consistirá, según disponga la correspondiente Ordenanza Fiscal, en: a) La cantidad resultante de aplicar una tarifa», como parece que sucede en el caso presente en el que sobre la suma del presupuesto se aplica un 4% para obtener la deuda tributaria, es claro que ese proceder de la ordenanza correspondiente no puede servir para determinar la cuantía de la tasa porque </w:t>
      </w:r>
      <w:r w:rsidRPr="0086464A">
        <w:rPr>
          <w:b/>
          <w:bCs/>
          <w:i/>
          <w:iCs/>
        </w:rPr>
        <w:t>no responde a los criterios fijados por el legislador ya que de ser así no estaríamos en presencia de la clase de tributo que es la tasa sino que lo que se hubiera liquidado a la recurrente hubiera sido un impuesto, desnaturalizando así la voluntad del legislador”.</w:t>
      </w:r>
    </w:p>
    <w:p w14:paraId="6F8FFD30" w14:textId="7BA38848" w:rsidR="00D61741" w:rsidRDefault="00D61741" w:rsidP="00D61741">
      <w:r>
        <w:t>También interesa destacar la sentencia del Tribunal Superior de Justicia del País Vasco de 28 de julio de 2000 (JUR 2001/39807) que</w:t>
      </w:r>
      <w:r w:rsidR="00966917">
        <w:t>,</w:t>
      </w:r>
      <w:r>
        <w:t xml:space="preserve"> sobre un asunto parecido, concluye que</w:t>
      </w:r>
    </w:p>
    <w:p w14:paraId="01F0FA6D" w14:textId="77777777" w:rsidR="00D61741" w:rsidRDefault="00D61741" w:rsidP="00D61741">
      <w:pPr>
        <w:ind w:left="708"/>
        <w:rPr>
          <w:bCs/>
          <w:i/>
        </w:rPr>
      </w:pPr>
      <w:r w:rsidRPr="00182D44">
        <w:rPr>
          <w:bCs/>
          <w:i/>
        </w:rPr>
        <w:lastRenderedPageBreak/>
        <w:t xml:space="preserve"> </w:t>
      </w:r>
      <w:r>
        <w:rPr>
          <w:bCs/>
          <w:i/>
        </w:rPr>
        <w:t>“</w:t>
      </w:r>
      <w:r w:rsidRPr="00182D44">
        <w:rPr>
          <w:bCs/>
          <w:i/>
        </w:rPr>
        <w:t>habida cuenta la liquidación por tasa enjuiciada no respeta el principio de equivalencia respecto al coste real o previsible aludido, y ha llevado a configurar un auténtico impuesto, por lo que esta Sala considera contraria a Derecho la tarifa aplicable a la expedición de licencias de apertura de establecimiento contenida en el art. 1 y 7 de la Ordenanza de referencia de conformidad con el art. 39 LJCA 56, y en consecuencia nula la liquidación impugnada, como concreto actos de aplicación de aquellos</w:t>
      </w:r>
      <w:r>
        <w:rPr>
          <w:bCs/>
          <w:i/>
        </w:rPr>
        <w:t>”.</w:t>
      </w:r>
    </w:p>
    <w:p w14:paraId="518F38CF" w14:textId="427C1079" w:rsidR="00A43182" w:rsidRDefault="00A43182" w:rsidP="00A43182">
      <w:r>
        <w:t xml:space="preserve">Por otro lado, en la configuración de la tasa se han introducido criterios más propios de un impuesto que de una tasa, como son la progresividad y la capacidad económica del contribuyente, por lo que el objeto y finalidad de la misma, que en última instancia debiera justificar a lo sumo el pago del servicio prestado, ha quedado desvirtuado. Dicha progresividad se ha establecido no en función del volumen de residuos, cuya gestión es el servicio a cubrir con esta tasa, sino en función del valor catastral de los inmuebles. </w:t>
      </w:r>
    </w:p>
    <w:p w14:paraId="08E6125F" w14:textId="3686E058" w:rsidR="00A53633" w:rsidRDefault="00A53633" w:rsidP="00A53633">
      <w:r>
        <w:t xml:space="preserve">La tasa debe corresponder a la contraprestación económica por la prestación de un servicio público como es la recogida de residuos urbanos. Por ello, cuando la determinación de su valor económico se efectúa sobre la base de un elemento, el valor catastral, que no va ligado a la generación de residuos, la tasa se aparta del contenido legal que circunscribe esta figura tributaria, se desviste en definitiva de su cobertura legal y toma tintes de arbitrariedad impropios de un sistema tributario moderno y justo. </w:t>
      </w:r>
    </w:p>
    <w:p w14:paraId="2E38BBF4" w14:textId="59FC4E57" w:rsidR="00A43182" w:rsidRDefault="00A53633" w:rsidP="00A53633">
      <w:r>
        <w:t>Es evidente que el criterio determinante para la cuantificación de la cuota tributaria de la tasa es el principio de capacidad económica, manifestado a través del valor de los inmuebles, y no el principio de equivalencia, como repercusión del coste real de prestación del servicio</w:t>
      </w:r>
      <w:r w:rsidR="00B26D0C">
        <w:t>.</w:t>
      </w:r>
    </w:p>
    <w:p w14:paraId="13A8D656" w14:textId="02253901" w:rsidR="00001AB7" w:rsidRDefault="00BA2606" w:rsidP="00BA2606">
      <w:r>
        <w:t>Esta manera de establecer la cuota tributaria de la tasa, vinculada al valor catastral del inmueble, provoca, a su vez que la liquidación objeto de impugnación y, en consecuencia, la misma Tasa incurran en vulneración del derecho fundamental a la igualdad recogido en el artículo 14 de la Constitución dado que trata de manera desigual a sujetos que, en relación con la prestación del servicio de recogida y gestión de residuos urbanos, son iguales.</w:t>
      </w:r>
      <w:r w:rsidR="00001AB7">
        <w:t xml:space="preserve"> Se infringe porque</w:t>
      </w:r>
      <w:r>
        <w:t xml:space="preserve"> los elevados valores catastrales de los inmuebles de algunos barrios de la ciudad de Madrid van a hacer que muchos de ellos se encuentren en los tramos altos de cuota a pagar, sin que ello implique necesariamente que generen más residuos que los inmuebles situados en otros barrios con valores catastrales más bajos.</w:t>
      </w:r>
      <w:r w:rsidR="00BB748D">
        <w:t xml:space="preserve"> Además, se gravan inmuebles vacíos con la tarifa básica, por lo que la discriminación es manifiesta.</w:t>
      </w:r>
    </w:p>
    <w:p w14:paraId="7F98354E" w14:textId="77777777" w:rsidR="00BA2606" w:rsidRDefault="00BA2606" w:rsidP="00BA2606">
      <w:r>
        <w:t>Por último, debemos considerar que la mayor cuantificación de la tasa en función del valor catastral y no los residuos producidos en la vivienda, resulta también contrario a la Ley 7/2022, cuando los inmuebles sobre los que recae el valor catastral (la mayoría) muchas veces están compuestos por una vivienda con jardín, garaje y cuarto trastero destinado a almacén. De acuerdo con el artículo (art. 4.c) de la Ordenanza Fiscal, los trasteros y las plazas de aparcamiento no están sujetos a la tasa, al entender la norma que no generan residuos adicionales a la vivienda. Sin embargo, en estos casos en los que el valor catastral del inmueble está compuesto por el valor del suelo y la construcción dedicada a vivienda y también por el valor del suelo y la construcción dedicado a usos anejos a la vivienda, como son las plazas de aparcamiento y el cuarto trastero, se está gravando injustificada e ilegalmente al ciudadano por el solo hecho de ser propietario o, en su caso, arrendatario o tenedor de ese inmueble.</w:t>
      </w:r>
    </w:p>
    <w:p w14:paraId="14C3CEF0" w14:textId="731CAD7E" w:rsidR="00D61741" w:rsidRDefault="00D61741" w:rsidP="00D61741">
      <w:r>
        <w:t xml:space="preserve">Por todo lo anterior, </w:t>
      </w:r>
      <w:r w:rsidR="000F1EC7">
        <w:t>dado que la tasa</w:t>
      </w:r>
      <w:r w:rsidR="007879D0">
        <w:t xml:space="preserve"> se devenga y determina</w:t>
      </w:r>
      <w:r w:rsidR="004D085F">
        <w:t>, en su mayor parte,</w:t>
      </w:r>
      <w:r w:rsidR="007879D0">
        <w:t xml:space="preserve"> con arreglo al valor de los inmuebles</w:t>
      </w:r>
      <w:r w:rsidR="004D085F">
        <w:t xml:space="preserve"> y no a los residuos generados por el sujeto pasivo,</w:t>
      </w:r>
      <w:r w:rsidR="007879D0">
        <w:t xml:space="preserve"> </w:t>
      </w:r>
      <w:r>
        <w:t xml:space="preserve">la Ordenanza fiscal que ampara la tasa recurrida es arbitraria y no se ajusta a las características de la tasa definidas por </w:t>
      </w:r>
      <w:r w:rsidR="006C14F5">
        <w:t>los artículos 20 y siguientes del TRLHL</w:t>
      </w:r>
      <w:r w:rsidR="00B44A7E">
        <w:t xml:space="preserve"> ni, por lo tanto, en la constitución.</w:t>
      </w:r>
      <w:r>
        <w:t xml:space="preserve"> La no conformidad a derecho de la Ordenanza conlleva la nulidad de la liquidación impugnada. Procede, por lo tanto, anular la liquidación impugnada</w:t>
      </w:r>
      <w:r w:rsidR="00B44A7E">
        <w:t xml:space="preserve"> y devolver las cantidades ya abonadas.</w:t>
      </w:r>
    </w:p>
    <w:p w14:paraId="02479D83" w14:textId="1107D4F0" w:rsidR="00B44A7E" w:rsidRDefault="00B67F7D" w:rsidP="00B67F7D">
      <w:pPr>
        <w:pStyle w:val="Ttulo2"/>
      </w:pPr>
      <w:r>
        <w:lastRenderedPageBreak/>
        <w:t xml:space="preserve">Infracción de la ley </w:t>
      </w:r>
      <w:r w:rsidR="000F1EC7">
        <w:t>7/2022, de 8 de abril, de residuos y suelos contaminados para una economía circular.</w:t>
      </w:r>
    </w:p>
    <w:p w14:paraId="08465B19" w14:textId="4A011B7B" w:rsidR="000F1EC7" w:rsidRDefault="004D085F" w:rsidP="000F1EC7">
      <w:r>
        <w:t>Además de lo anterior y como se ha apuntado, la Ordenanza reguladora de la tasa infringe la Ley a cuyo amparo de ha dictado e infringe el principio de quien contamina paga.</w:t>
      </w:r>
    </w:p>
    <w:p w14:paraId="2AE72242" w14:textId="5D33AB1F" w:rsidR="004D085F" w:rsidRDefault="00351360" w:rsidP="000F1EC7">
      <w:r>
        <w:t>En el preámbulo de la Ordenanza se indica que</w:t>
      </w:r>
    </w:p>
    <w:p w14:paraId="07FD62A7" w14:textId="518BC90A" w:rsidR="00351360" w:rsidRPr="00351360" w:rsidRDefault="00351360" w:rsidP="00351360">
      <w:pPr>
        <w:pStyle w:val="Cita"/>
      </w:pPr>
      <w:r>
        <w:t>El artículo</w:t>
      </w:r>
      <w:r w:rsidR="004D2E2B">
        <w:t xml:space="preserve"> </w:t>
      </w:r>
      <w:r w:rsidR="004D2E2B" w:rsidRPr="004D2E2B">
        <w:t>11 de la Ley 7/2022, de 8 de abril, de residuos y suelos contaminados para una economía circular, establece, en su apartado 3, que «En el caso de los costes de gestión de los residuos de competencia local, de acuerdo con lo dispuesto en el texto refundido de la Ley reguladora de las Haciendas Locales, aprobado por Real Decreto Legislativo 2/2004, de 5 de marzo, las entidades locales establecerán, en el plazo de tres años a contar desde la entrada en vigor de esta ley, una tasa o, en su caso, una prestación patrimonial de carácter público no tributaria, específica, diferenciada y no deficitaria, que permita implantar sistemas de pago por generación y que refleje el coste real,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energía». En cumplimiento de este mandato legal y dentro del plazo establecido, el Ayuntamiento de Madrid acuerda la imposición de la Tasa por prestación del servicio de gestión de residuos de competencia municipal y lleva a cabo su regulación a través de la ordenanza fiscal correspondiente.</w:t>
      </w:r>
    </w:p>
    <w:p w14:paraId="13B59150" w14:textId="502AF485" w:rsidR="006240A2" w:rsidRDefault="007507A9" w:rsidP="00112BA7">
      <w:r>
        <w:t>Según el apartado 1 de ese mismo artículo:</w:t>
      </w:r>
    </w:p>
    <w:p w14:paraId="072FF037" w14:textId="23A6C818" w:rsidR="007507A9" w:rsidRDefault="00A44E27" w:rsidP="00A44E27">
      <w:pPr>
        <w:pStyle w:val="Cita"/>
      </w:pPr>
      <w:r w:rsidRPr="00A44E27">
        <w:t>1. De acuerdo con el principio «quien contamina paga», los costes relativos a la gestión de los residuos, incluidos los costes correspondientes a la infraestructura necesaria y a su funcionamiento, así como los costes relativos a los impactos medioambientales y en particular los de las emisiones de gases de efecto invernadero, tendrán que ser sufragados por el productor inicial de residuos, por el poseedor actual o por el anterior poseedor de residuos de acuerdo con lo establecido en el artículo 104</w:t>
      </w:r>
      <w:r w:rsidR="00DE5BEC">
        <w:t>.</w:t>
      </w:r>
    </w:p>
    <w:p w14:paraId="5353979A" w14:textId="57BD2D00" w:rsidR="006240A2" w:rsidRPr="003B6560" w:rsidRDefault="007F1D17" w:rsidP="00A44E27">
      <w:pPr>
        <w:pStyle w:val="Cita"/>
        <w:ind w:left="0"/>
        <w:rPr>
          <w:i w:val="0"/>
          <w:iCs w:val="0"/>
          <w:sz w:val="20"/>
        </w:rPr>
      </w:pPr>
      <w:r w:rsidRPr="003B6560">
        <w:rPr>
          <w:i w:val="0"/>
          <w:iCs w:val="0"/>
          <w:sz w:val="20"/>
        </w:rPr>
        <w:t>Este mismo principio se cita en el Preámbulo de la Ordenanza</w:t>
      </w:r>
    </w:p>
    <w:p w14:paraId="07CC3C95" w14:textId="2E48587A" w:rsidR="003B6560" w:rsidRDefault="003B6560" w:rsidP="003B6560">
      <w:pPr>
        <w:pStyle w:val="Cita"/>
        <w:rPr>
          <w:i w:val="0"/>
          <w:iCs w:val="0"/>
        </w:rPr>
      </w:pPr>
      <w:r w:rsidRPr="003B6560">
        <w:t>La regulación que se contempla incorpora todos los criterios y principios básicos del texto refundido de la Ley reguladora de las Haciendas Locales (en adelante, TRLRHL), aprobado por el Real Decreto Legislativo 2/2004, de 5 de marzo, incluyendo, en el cálculo de la cuota, el elemento de la generación de residuos que impone la citada Ley de Residuos, en el marco del principio de que "quien contamina paga".</w:t>
      </w:r>
    </w:p>
    <w:p w14:paraId="343EC430" w14:textId="573FC53F" w:rsidR="00DE5BEC" w:rsidRDefault="00DE5BEC" w:rsidP="00DE5BEC">
      <w:r>
        <w:t xml:space="preserve">Dicha Ley tiene por finalidad incorporar al ordenamiento jurídico las modificaciones </w:t>
      </w:r>
      <w:r w:rsidR="00613B31">
        <w:t xml:space="preserve">introducidas </w:t>
      </w:r>
      <w:r w:rsidR="00BA5D29">
        <w:t xml:space="preserve">en la Directiva 2008/98/CE sobre residuos por la Directiva </w:t>
      </w:r>
      <w:r w:rsidR="00BA5D29" w:rsidRPr="00BA5D29">
        <w:t>(UE) 2018/851 del Parlamento Europeo y del Consejo, de 30 de mayo de 2018</w:t>
      </w:r>
      <w:r w:rsidR="00BA5D29">
        <w:t xml:space="preserve">. Y, en concreto, su artículo 14, según el cual: </w:t>
      </w:r>
    </w:p>
    <w:p w14:paraId="1E7AF721" w14:textId="113B0E82" w:rsidR="00321E52" w:rsidRPr="00321E52" w:rsidRDefault="00321E52" w:rsidP="00BA5D29">
      <w:pPr>
        <w:pStyle w:val="Cita"/>
      </w:pPr>
      <w:r w:rsidRPr="00321E52">
        <w:t>1.   De acuerdo con el principio de quien contamina paga, los costes relativos a la gestión de los residuos tendrán que correr a cargo del productor inicial de residuos, del poseedor actual o del anterior poseedor de residuos.</w:t>
      </w:r>
    </w:p>
    <w:p w14:paraId="7DD23679" w14:textId="62683308" w:rsidR="008C2274" w:rsidRDefault="008C2274" w:rsidP="00BC62ED">
      <w:r>
        <w:t>Y, precisamente</w:t>
      </w:r>
      <w:r w:rsidR="00665381">
        <w:t xml:space="preserve"> en respeto a este principio, el artículo 11.3 de la Ley 7/2022</w:t>
      </w:r>
    </w:p>
    <w:p w14:paraId="3F1B329B" w14:textId="6DB4DF02" w:rsidR="004B4BD4" w:rsidRDefault="004B4BD4" w:rsidP="004B4BD4">
      <w:pPr>
        <w:pStyle w:val="Cita"/>
      </w:pPr>
      <w:r w:rsidRPr="004B4BD4">
        <w:t xml:space="preserve">3. En el caso de los costes de gestión de los residuos de competencia local, de acuerdo con lo dispuesto en el texto refundido de la Ley reguladora de las Haciendas Locales, aprobado por Real Decreto Legislativo 2/2004, de 5 de marzo, las entidades locales establecerán, en el plazo de tres años a contar desde la entrada en vigor de esta ley, una tasa o, en su caso, una prestación patrimonial de carácter público no tributaria, específica, diferenciada y no deficitaria, </w:t>
      </w:r>
      <w:r w:rsidRPr="004B4BD4">
        <w:rPr>
          <w:b/>
          <w:bCs/>
        </w:rPr>
        <w:t>que permita implantar sistemas de pago por generación y que refleje el coste real</w:t>
      </w:r>
      <w:r w:rsidRPr="004B4BD4">
        <w:t>,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energía.</w:t>
      </w:r>
    </w:p>
    <w:p w14:paraId="30D5C37A" w14:textId="049C5E16" w:rsidR="00BC62ED" w:rsidRPr="00BC62ED" w:rsidRDefault="00BC62ED" w:rsidP="00BC62ED">
      <w:r w:rsidRPr="00BC62ED">
        <w:t>En el artículo 10 de la ordenanza fiscal, relativo a la cuota tributaria de los inmuebles de uso residencial, se establece en su punto 1 que la tarifa básica (TB) se calculará en función del tramo de valor catastral en el que se encuentre cada vivienda. Este sistema comporta una vulneración del mandato contenido en la Ley 7/2022</w:t>
      </w:r>
      <w:r w:rsidR="008A5609">
        <w:t xml:space="preserve"> y en la Directiva UE</w:t>
      </w:r>
      <w:r w:rsidRPr="00BC62ED">
        <w:t xml:space="preserve">, al aplicar un criterio de cuantificación prácticamente coincidente con el establecido en el Impuesto sobre Bienes Inmuebles, lo que, a su vez, resulta claramente contrario a lo exigido por la normativa citada, además de un supuesto palmario de doble imposición. </w:t>
      </w:r>
    </w:p>
    <w:p w14:paraId="13B8EDC6" w14:textId="77777777" w:rsidR="00BC62ED" w:rsidRPr="00BC62ED" w:rsidRDefault="00BC62ED" w:rsidP="00BC62ED">
      <w:r w:rsidRPr="00BC62ED">
        <w:t>De esta manera, la OF realiza una distribución de costes entre los destinatarios del servicio que apenas toma en consideración la generación de residuos, porque distribuye en la Tarifa Básica más del 80% de los costes en función del valor catastral, y menos del 20% restante en función de la generación de residuos, tal y como se desprende de la información contenida en la propia liquidación impugnada y en la Resolución de la Directora de la Agencia Tributaria de Madrid de 27/03/2025.</w:t>
      </w:r>
    </w:p>
    <w:p w14:paraId="7932F7B5" w14:textId="11CCEA42" w:rsidR="003B6560" w:rsidRDefault="002A437D" w:rsidP="003B6560">
      <w:r>
        <w:t xml:space="preserve">La normativa reguladora de la tasa no </w:t>
      </w:r>
      <w:r w:rsidR="002A5089">
        <w:t>desincentiva</w:t>
      </w:r>
      <w:r w:rsidR="008C0913">
        <w:t xml:space="preserve"> la generación de residuos ni respeta el principio de quien contamina paga porque la determinación de la cuota (en su mayor parte, un 80%) nada tiene que ver con </w:t>
      </w:r>
      <w:r w:rsidR="005208E4">
        <w:t>la cantidad de residuos generados sino con el valor del inmueble. Respecto al resto de la tasa, el otro 20%, tampoco se determina en función de la generación individualizada de residuos, sino en la generación conjunta.</w:t>
      </w:r>
    </w:p>
    <w:p w14:paraId="1062C572" w14:textId="77777777" w:rsidR="00BD46EB" w:rsidRDefault="00BD46EB" w:rsidP="00BD46EB">
      <w:r>
        <w:t xml:space="preserve">¿Qué supone esto? Que las viviendas situadas en zonas muy comerciales, con muchos restaurantes y comercios, pagarán más que las viviendas situadas en zonas residenciales poco comerciales. </w:t>
      </w:r>
    </w:p>
    <w:p w14:paraId="2520EBC2" w14:textId="2A17C1B1" w:rsidR="007B32F9" w:rsidRDefault="007B32F9" w:rsidP="007B32F9">
      <w:r>
        <w:t xml:space="preserve">En la Ordenanza, en lugar de realizarse una distribución individualizada en función de los residuos realmente generados en cada inmueble, lo que hace es distribuir el volumen total de residuos generados en un barrio entre el número total de empadronados en dicho barrio, y ello determina la cuota aplicable a cada vivienda de ese barrio. Así se desprende de la Resolución de la Directora de la Agencia Tributaria de Madrid de 27/03/2025. </w:t>
      </w:r>
    </w:p>
    <w:p w14:paraId="7B013762" w14:textId="77777777" w:rsidR="007B32F9" w:rsidRDefault="007B32F9" w:rsidP="007B32F9">
      <w:r>
        <w:t xml:space="preserve">Por tanto, el número de empadronados en cada vivienda no es relevante para determinar la cuota, porque pagará lo mismo una vivienda con un único empadronado, que otra vivienda del mismo barrio con nueve personas empadronadas, porque a todos los inmuebles de un mismo barrio se les aplica la misma tarifa, ya que tienen asignados el mismo número de empadronados. </w:t>
      </w:r>
    </w:p>
    <w:p w14:paraId="1041BF58" w14:textId="19450C4E" w:rsidR="00ED4FAC" w:rsidRDefault="00ED4FAC" w:rsidP="00ED4FAC">
      <w:r>
        <w:t>La actuación del contribuyente individualmente considerado es totalmente irrelevante para la cuantificación de la tasa, ya que todos los contribuyentes del mismo barrio pagarán la misma cuota con independencia de que realicen una separación de residuos ejemplar o, por el contrario, no realicen ninguna discriminación de residuos.</w:t>
      </w:r>
    </w:p>
    <w:p w14:paraId="56D04DB3" w14:textId="257F1672" w:rsidR="00ED4FAC" w:rsidRDefault="007B32F9" w:rsidP="003B6560">
      <w:r>
        <w:t>E</w:t>
      </w:r>
      <w:r w:rsidR="00ED4FAC">
        <w:t xml:space="preserve">n la práctica, la cuantificación de la tarifa por generación y su corrección por el coeficiente de calidad en la separación de residuos (CCS) comporta un evidente desincentivo al compromiso vecinal, pues ambos parámetros se calculan a partir de medias por barrios administrativos completos, asumiendo que todas las viviendas generan la misma cantidad de residuos y con la misma calidad de separación. Ello, como decimos, desincentiva a las personas y familias </w:t>
      </w:r>
      <w:r>
        <w:t xml:space="preserve">que se esfuerzan en separar y reducir sus </w:t>
      </w:r>
      <w:r w:rsidR="00ED4FAC">
        <w:t xml:space="preserve">residuos, al no valorar ni premiar </w:t>
      </w:r>
      <w:r>
        <w:t>estos</w:t>
      </w:r>
      <w:r w:rsidR="00ED4FAC">
        <w:t xml:space="preserve"> esfuerzos, y genera una percepción de inequidad. En efecto, la cuantificación de la tasa penaliza a quienes gestionan adecuadamente sus residuos y beneficia a quienes no lo hacen, planteando un pago uniforme que no refleja las diferencias reales entre viviendas. Esta situación es particularmente injusta en las viviendas con altas tasas de separación de residuos, donde las familias más responsables terminan pagando proporcionalmente más que las menos responsables. Y es que la tasa no está diseñada para servir al propósito de</w:t>
      </w:r>
      <w:r>
        <w:t xml:space="preserve"> reducir ni</w:t>
      </w:r>
      <w:r w:rsidR="00ED4FAC">
        <w:t xml:space="preserve"> reciclar. Con la nueva tasa, </w:t>
      </w:r>
      <w:r w:rsidR="00BD46EB">
        <w:t xml:space="preserve"> se desincentiva los objetivos que se pretenden alcanzar: la reducción del residuo, su separación y su reciclaje.</w:t>
      </w:r>
    </w:p>
    <w:p w14:paraId="1F9FA73D" w14:textId="2B5A5D77" w:rsidR="00AF3E4D" w:rsidRDefault="00AF3E4D" w:rsidP="003B6560">
      <w:r>
        <w:t>Un reparto de costes de los servicios de gestión de residuos, respetuoso con el principio de quien contamina paga, debe ser proporcional a la capacidad de generación</w:t>
      </w:r>
      <w:r w:rsidR="007026E7">
        <w:t xml:space="preserve"> de residuos y no al valor catastral del inmueble.</w:t>
      </w:r>
    </w:p>
    <w:p w14:paraId="0A009321" w14:textId="5F0124D8" w:rsidR="00331941" w:rsidRDefault="00331941" w:rsidP="00331941">
      <w:r>
        <w:t>Así lo ha declarado el TJUE en su sentencia de 29 de abril de 1999, asunto Standley y otros C-293/97, en la que se expresa que:</w:t>
      </w:r>
    </w:p>
    <w:p w14:paraId="53190FFC" w14:textId="77777777" w:rsidR="00331941" w:rsidRDefault="00331941" w:rsidP="00331941">
      <w:pPr>
        <w:pStyle w:val="Cita"/>
      </w:pPr>
      <w:r>
        <w:t>50 De lo que precede se deduce que la Directiva contiene disposiciones cuya flexibilidad permite a los Estados miembros respetar el principio de proporcionalidad al aplicar las medidas que se adopten. Corresponde a los órganos jurisdiccionales nacionales garantizar el respeto a dicho principio.</w:t>
      </w:r>
    </w:p>
    <w:p w14:paraId="03871CD4" w14:textId="77777777" w:rsidR="00331941" w:rsidRDefault="00331941" w:rsidP="00331941">
      <w:pPr>
        <w:pStyle w:val="Cita"/>
      </w:pPr>
      <w:r>
        <w:t>51 En relación con el principio de quien contamina paga, base señalar que la Directiva no implica que las explotaciones agrícolas deben asumir las cargas inherentes a la eliminación de una contaminación a la que no hayan contribuido.</w:t>
      </w:r>
    </w:p>
    <w:p w14:paraId="7169A22A" w14:textId="77777777" w:rsidR="00331941" w:rsidRDefault="00331941" w:rsidP="00331941">
      <w:pPr>
        <w:pStyle w:val="Cita"/>
      </w:pPr>
      <w:r>
        <w:t>52 Como se ha señalado en los apartados 46 y 48 de la presente sentencia, para la ejecución de la Directiva, incumbe a los Estados miembros tomar en consideración las demás fuentes de contaminación y, habida cuenta de las circunstancias, no hacer que los agricultores corran con gastos de eliminación de la contaminación que no sean necesarios. Desde este punto de vista, el principio de quien contamina paga aparece como la expresión del principio de proporcionalidad, sobre el cual ya se ha pronunciado el Tribunal de Justicia.</w:t>
      </w:r>
    </w:p>
    <w:p w14:paraId="7C7F2B73" w14:textId="78CCEB7E" w:rsidR="00331941" w:rsidRDefault="00331941" w:rsidP="00331941">
      <w:r>
        <w:t>En este mismo sentido el TJUE, en su sentencia de 16 de julio de 2009, dictada en el asunto C-254/08, declara que, aunque los Estados miembros “tienen amplio margen de apreciación por lo que se refiere a la determinación de las modalidades de cálculo de semejante tasa”, dichos cálculos tienen que realizarse en función de la “capacidad generadora de residuos o la naturaleza de los residuos generados” de los productores, teniendo la obligación el órgano jurisdiccional de los Estados miembros controlar que no se impongan “unos costes manifiestamente desproporcionados respecto de los volúmenes o de la naturaleza de los residuos que pueden generar”.</w:t>
      </w:r>
    </w:p>
    <w:p w14:paraId="35B2E745" w14:textId="27B4BBEC" w:rsidR="00331941" w:rsidRDefault="00331941" w:rsidP="00331941">
      <w:r>
        <w:t>La Abogada General, es aún más clara en las conclusiones presentadas en ese asunto ante el TJUE al declarar que</w:t>
      </w:r>
    </w:p>
    <w:p w14:paraId="2B5F0BB9" w14:textId="69F5CC28" w:rsidR="00331941" w:rsidRDefault="00331941" w:rsidP="00331941">
      <w:pPr>
        <w:pStyle w:val="Cita"/>
      </w:pPr>
      <w:r>
        <w:t>32. El principio de quien contamina paga persigue el objetivo de repartir de manera justa los costes que origina la contaminación del medio ambiente. Dichos costes no se ponen a cargo de otros, en particular, de la colectividad, o simplemente se ignoran, sino que se imputan al responsable de la contaminación. Por ese motivo, el Tribunal de Justicia ha considerado que el principio de quien contamina paga constituye un reflejo del principio de proporcionalidad, puesto que sería inadecuado imponer los costes de eliminación de residuos a quien no los ha producido.</w:t>
      </w:r>
    </w:p>
    <w:p w14:paraId="785180E2" w14:textId="77777777" w:rsidR="00331941" w:rsidRDefault="00331941" w:rsidP="00331941">
      <w:pPr>
        <w:pStyle w:val="Cita"/>
      </w:pPr>
      <w:r>
        <w:t>33. Como principio de reparto de costes, el principio de quien contamina paga constituye al mismo tiempo una concreción del de igualdad de trato o de no discriminación. Este principio exige que las situaciones comparables no reciban un trato diferente y que no se trate de manera idéntica situaciones diferentes, a no ser que tal diferenciación esté objetivamente justificada. Con arreglo al principio de quien contamina paga, el criterio determinante para poder comparar y, eventualmente, justificar las obligaciones de pago de la eliminación de residuos es la contribución a la contaminación. Entendido de esta forma, tal principio también garantiza la competencia justa, si se aplica a las empresas de manera consecuente y uniforme.</w:t>
      </w:r>
    </w:p>
    <w:p w14:paraId="69CA65A5" w14:textId="77777777" w:rsidR="00331941" w:rsidRDefault="00331941" w:rsidP="00331941">
      <w:pPr>
        <w:pStyle w:val="Cita"/>
      </w:pPr>
      <w:r>
        <w:t>34. Por ese motivo, el Tribunal de Justicia, por una parte, ha considerado incompatible con el principio de que quien contamina paga el hecho de que las personas implicadas en la generación de residuos puedan eludir sus obligaciones económicas tal como las establece la Directiva marco sobre residuos, y por otra parte, ha afirmado que nadie puede ser obligado a asumir las cargas inherentes a la eliminación de una contaminación a la que no hayan contribuido. Esta declaración del Tribunal de Justicia se refería, en principio, a la contaminación de aguas, pero también puede aplicarse a la eliminación de residuos.</w:t>
      </w:r>
    </w:p>
    <w:p w14:paraId="14AA5B69" w14:textId="77777777" w:rsidR="00331941" w:rsidRDefault="00331941" w:rsidP="00331941">
      <w:pPr>
        <w:pStyle w:val="Cita"/>
      </w:pPr>
      <w:r>
        <w:t>35. De ello deduje que no han de asumirse los costes de eliminación de residuos generador por otros, puesto que, si se asumieran dichos costes, estos otros quedarían exentos de las obligaciones que le impone el principio de quien contamina paga.</w:t>
      </w:r>
    </w:p>
    <w:p w14:paraId="149520E3" w14:textId="23845A76" w:rsidR="00331941" w:rsidRDefault="00331941" w:rsidP="00331941">
      <w:r>
        <w:t>Respecto a la base imponible que debe utilizarse para la determinación del canon, el Abogado General entiende que:</w:t>
      </w:r>
    </w:p>
    <w:p w14:paraId="381B70BE" w14:textId="77777777" w:rsidR="00331941" w:rsidRDefault="00331941" w:rsidP="00137885">
      <w:pPr>
        <w:pStyle w:val="Cita"/>
      </w:pPr>
      <w:r>
        <w:t>65. Aunque no cabe excluir que empresas con mayores ingresos produzcan muchos residuos, también puede afirmarse lo contrario. Posiblemente el incremento de ingresos obedezca precisamente a un ahorro en materias primas.</w:t>
      </w:r>
    </w:p>
    <w:p w14:paraId="0FC0FF6B" w14:textId="77777777" w:rsidR="00331941" w:rsidRDefault="00331941" w:rsidP="00137885">
      <w:pPr>
        <w:pStyle w:val="Cita"/>
      </w:pPr>
      <w:r>
        <w:t>66. La capacidad de generación de ingresos tampoco puede justificar, como punto de vista social, mayores contribuciones. El principio de quien contamina paga tiene por objeto que todas las capas sociales se comporten de la manera que menos perjudique el medio ambiente. Por ello, serían incompatibles con tal principio exonerar directamente a determinados grupos, debido a sus mayores necesidades o a su menor rendimiento, de la obligación de hacer frente a los costes vinculados a los perjuicios al medio ambiente que hayan ocasionado. Sin embargo, ello no excluye tener en cuenta dichos costes al apreciar eventuales medidas sociales de apoyo, particularmente si se tiene en cuenta que los daños al medio ambiente forman parte inevitable de su nivel de vida. En efecto, de esta forma se garantiza que el principio de que quien contamina paga cumple su función de motivación.</w:t>
      </w:r>
    </w:p>
    <w:p w14:paraId="234A4490" w14:textId="7A136FE7" w:rsidR="007026E7" w:rsidRPr="003B6560" w:rsidRDefault="00331941" w:rsidP="00137885">
      <w:pPr>
        <w:pStyle w:val="Cita"/>
      </w:pPr>
      <w:r>
        <w:t>67. Por consiguiente cabe afirmar que la capacidad de generación de ingresos sería un criterio manifiestamente inadecuado para aplicar el principio de quien contamina paga.</w:t>
      </w:r>
    </w:p>
    <w:p w14:paraId="1C8A8A44" w14:textId="238B7912" w:rsidR="006240A2" w:rsidRDefault="00137885" w:rsidP="00112BA7">
      <w:r>
        <w:t>La determinación de</w:t>
      </w:r>
      <w:r w:rsidR="00B35D28">
        <w:t xml:space="preserve"> la cuota</w:t>
      </w:r>
      <w:r w:rsidR="00CC14D7">
        <w:t xml:space="preserve">, que de forma mayoritaria atiende al </w:t>
      </w:r>
      <w:r w:rsidR="00CC14D7">
        <w:rPr>
          <w:i/>
          <w:iCs/>
        </w:rPr>
        <w:t xml:space="preserve">“valor catastral del inmueble” </w:t>
      </w:r>
      <w:r w:rsidR="00CC14D7">
        <w:t>infringe</w:t>
      </w:r>
      <w:r w:rsidR="0043771B">
        <w:t xml:space="preserve"> el principio de quien contamina paga al desligarse, total y absolutamente, de la generación de residuos y, por lo tanto, su afección medioambiental.</w:t>
      </w:r>
    </w:p>
    <w:p w14:paraId="4572603F" w14:textId="2F67E0DC" w:rsidR="0043771B" w:rsidRDefault="0043771B" w:rsidP="0043771B">
      <w:r w:rsidRPr="0043771B">
        <w:t xml:space="preserve">Por tanto, es evidente que la liquidación impugnada y, por ende, la Ordenanza Fiscal que le sirve de base </w:t>
      </w:r>
      <w:r w:rsidR="009C0771">
        <w:t>es contraria a la</w:t>
      </w:r>
      <w:r w:rsidRPr="0043771B">
        <w:t xml:space="preserve"> Directiva 2018/851 y </w:t>
      </w:r>
      <w:r w:rsidR="009C0771">
        <w:t>a</w:t>
      </w:r>
      <w:r w:rsidRPr="0043771B">
        <w:t xml:space="preserve"> la Ley 7/2022</w:t>
      </w:r>
      <w:r w:rsidR="009C0771">
        <w:t>, por ignorar l</w:t>
      </w:r>
      <w:r w:rsidRPr="0043771B">
        <w:t>a determinación previa del volumen de residuos generado</w:t>
      </w:r>
      <w:r w:rsidR="00F22CF1">
        <w:t>s</w:t>
      </w:r>
      <w:r w:rsidRPr="0043771B">
        <w:t xml:space="preserve"> respecto de cada actividad individualmente considerada», como reclama la normativa citada y recordaba la STS de 13 de mayo de 2024 (ECLI:ES:TS:2024:2668)</w:t>
      </w:r>
      <w:r w:rsidR="00F22CF1">
        <w:t xml:space="preserve"> y el principio de quien contamina paga.</w:t>
      </w:r>
    </w:p>
    <w:p w14:paraId="41423F6A" w14:textId="77777777" w:rsidR="00CF2EC6" w:rsidRDefault="00CF2EC6" w:rsidP="00CF2EC6"/>
    <w:p w14:paraId="1763BDAA" w14:textId="26E93AF1" w:rsidR="00533BCB" w:rsidRDefault="00533BCB" w:rsidP="00533BCB">
      <w:pPr>
        <w:pStyle w:val="Ttulo1"/>
      </w:pPr>
      <w:r>
        <w:t xml:space="preserve">Nulidad de la liquidación impugnada al no incluirse en la Ordenanza Fiscal </w:t>
      </w:r>
      <w:r w:rsidR="00280829">
        <w:t>por infracción del artículo 16 del trlhl. falta de determinación en la ordenanza</w:t>
      </w:r>
      <w:r>
        <w:t xml:space="preserve"> los elementos esenciales de cuantificación del tributo.  </w:t>
      </w:r>
    </w:p>
    <w:p w14:paraId="686FD302" w14:textId="5E87FADA" w:rsidR="00533BCB" w:rsidRDefault="00533BCB" w:rsidP="00533BCB">
      <w:r>
        <w:t xml:space="preserve">La liquidación impugnada </w:t>
      </w:r>
      <w:r w:rsidR="00453218">
        <w:t>se gira al amparo de la Ordenanza fiscal</w:t>
      </w:r>
      <w:r>
        <w:t xml:space="preserve"> 8/2024, de 23 de diciembre (publicada en el BOCAM de 27 de diciembre de 2024) y la Resolución de 27 de marzo de 2025 de la Directora de la Agencia Tributaria de Madrid por la que se da cumplimiento a lo dispuesto en el artículo 12.3 de la Ordenanza Fiscal reguladora de la tasa por prestación del servicio de gestión de residuos de competencia municipal.</w:t>
      </w:r>
    </w:p>
    <w:p w14:paraId="63BE44AF" w14:textId="7D5E27ED" w:rsidR="00533BCB" w:rsidRDefault="008A0A97" w:rsidP="00533BCB">
      <w:r>
        <w:t>Siempre y cuando el servicio municipal prestado se encuentre amparado en el artículo 20 del TRLHL u en otra ley, como en este caso, en el artículo 11 de</w:t>
      </w:r>
      <w:r w:rsidR="00533BCB">
        <w:t xml:space="preserve"> la Ley 7/2022, de 8 de abril, de residuos y suelos contaminados para una economía circular</w:t>
      </w:r>
      <w:r w:rsidR="00886B66">
        <w:t>, la doctrina da por cumplido el principio de reserva de ley en los casos de tasas de carácter local.</w:t>
      </w:r>
    </w:p>
    <w:p w14:paraId="0440AFBF" w14:textId="627964E6" w:rsidR="00886B66" w:rsidRDefault="00886B66" w:rsidP="00533BCB">
      <w:r>
        <w:t>Pero, aun así, el artículo 16 del TRLHL</w:t>
      </w:r>
      <w:r w:rsidR="00B85D8A">
        <w:t xml:space="preserve"> establece los elementos mínimos de las tasas que deben </w:t>
      </w:r>
      <w:r w:rsidR="00D00208">
        <w:t>incorporarse a las ordenanzas fiscales, estableciendo que:</w:t>
      </w:r>
    </w:p>
    <w:p w14:paraId="4EF18EF3" w14:textId="77777777" w:rsidR="00365AB6" w:rsidRPr="00365AB6" w:rsidRDefault="00365AB6" w:rsidP="00365AB6">
      <w:pPr>
        <w:pStyle w:val="Cita"/>
      </w:pPr>
      <w:r w:rsidRPr="00365AB6">
        <w:t>1. Las ordenanzas fiscales a que se refiere el apartado 1 del artículo anterior contendrán, al menos:</w:t>
      </w:r>
    </w:p>
    <w:p w14:paraId="131FB073" w14:textId="482E663B" w:rsidR="00365AB6" w:rsidRPr="00365AB6" w:rsidRDefault="00365AB6" w:rsidP="00365AB6">
      <w:pPr>
        <w:pStyle w:val="Cita"/>
      </w:pPr>
      <w:r w:rsidRPr="00365AB6">
        <w:t>a) La determinación del hecho imponible, sujeto pasivo, responsables, exenciones, reducciones y bonificaciones, base imponible y liquidable, tipo de gravamen o cuota tributaria, período impositivo y devengo.</w:t>
      </w:r>
    </w:p>
    <w:p w14:paraId="22A88B1A" w14:textId="77777777" w:rsidR="00365AB6" w:rsidRPr="00365AB6" w:rsidRDefault="00365AB6" w:rsidP="00365AB6">
      <w:pPr>
        <w:pStyle w:val="Cita"/>
      </w:pPr>
      <w:r w:rsidRPr="00365AB6">
        <w:t>b) Los regímenes de declaración y de ingreso.</w:t>
      </w:r>
    </w:p>
    <w:p w14:paraId="43424D4F" w14:textId="77777777" w:rsidR="00365AB6" w:rsidRPr="00365AB6" w:rsidRDefault="00365AB6" w:rsidP="00365AB6">
      <w:pPr>
        <w:pStyle w:val="Cita"/>
      </w:pPr>
      <w:r w:rsidRPr="00365AB6">
        <w:t>c) Las fechas de su aprobación y del comienzo de su aplicación.</w:t>
      </w:r>
    </w:p>
    <w:p w14:paraId="511590D5" w14:textId="77777777" w:rsidR="00365AB6" w:rsidRPr="00365AB6" w:rsidRDefault="00365AB6" w:rsidP="00365AB6">
      <w:pPr>
        <w:pStyle w:val="Cita"/>
      </w:pPr>
      <w:r w:rsidRPr="00365AB6">
        <w:t>Asimismo, estas ordenanzas fiscales podrán contener, en su caso, las normas a que se refiere el apartado 3 del artículo 15.</w:t>
      </w:r>
    </w:p>
    <w:p w14:paraId="24B53871" w14:textId="77777777" w:rsidR="00365AB6" w:rsidRPr="00365AB6" w:rsidRDefault="00365AB6" w:rsidP="00365AB6">
      <w:pPr>
        <w:pStyle w:val="Cita"/>
      </w:pPr>
      <w:r w:rsidRPr="00365AB6">
        <w:t>Los acuerdos de aprobación de estas ordenanzas fiscales deberán adoptarse simultáneamente a los de imposición de los respectivos tributos.</w:t>
      </w:r>
    </w:p>
    <w:p w14:paraId="408BF377" w14:textId="77777777" w:rsidR="00365AB6" w:rsidRPr="00365AB6" w:rsidRDefault="00365AB6" w:rsidP="00365AB6">
      <w:pPr>
        <w:pStyle w:val="Cita"/>
      </w:pPr>
      <w:r w:rsidRPr="00365AB6">
        <w:t>Los acuerdos de modificación de dichas ordenanzas deberán contener la nueva redacción de las normas afectadas y las fechas de su aprobación y del comienzo de su aplicación.</w:t>
      </w:r>
    </w:p>
    <w:p w14:paraId="4E69D9E1" w14:textId="77777777" w:rsidR="00365AB6" w:rsidRPr="00365AB6" w:rsidRDefault="00365AB6" w:rsidP="00365AB6">
      <w:pPr>
        <w:pStyle w:val="Cita"/>
      </w:pPr>
      <w:r w:rsidRPr="00365AB6">
        <w:t>2. Las ordenanzas fiscales a que se refiere el apartado 2 del artículo anterior contendrán, además de los elementos necesarios para la determinación de las cuotas tributarias de los respectivos impuestos, las fechas de su aprobación y el comienzo de su aplicación.</w:t>
      </w:r>
    </w:p>
    <w:p w14:paraId="7FDBC4D8" w14:textId="77777777" w:rsidR="00365AB6" w:rsidRPr="00365AB6" w:rsidRDefault="00365AB6" w:rsidP="00365AB6">
      <w:pPr>
        <w:pStyle w:val="Cita"/>
      </w:pPr>
      <w:r w:rsidRPr="00365AB6">
        <w:t>Asimismo, estas ordenanzas fiscales podrán contener, en su caso, las normas a que se refiere el apartado 3 del artículo 15.</w:t>
      </w:r>
    </w:p>
    <w:p w14:paraId="129227CB" w14:textId="77777777" w:rsidR="00365AB6" w:rsidRPr="00365AB6" w:rsidRDefault="00365AB6" w:rsidP="00365AB6">
      <w:pPr>
        <w:pStyle w:val="Cita"/>
      </w:pPr>
      <w:r w:rsidRPr="00365AB6">
        <w:t>Los acuerdos de aprobación de ordenanzas fiscales deberán adoptarse simultáneamente a los de fijación de los elementos regulados en aquéllas.</w:t>
      </w:r>
    </w:p>
    <w:p w14:paraId="76524DF4" w14:textId="77777777" w:rsidR="00365AB6" w:rsidRPr="00365AB6" w:rsidRDefault="00365AB6" w:rsidP="00365AB6">
      <w:pPr>
        <w:pStyle w:val="Cita"/>
      </w:pPr>
      <w:r w:rsidRPr="00365AB6">
        <w:t>Los acuerdos de modificación de dichas ordenanzas se ajustarán a lo dispuesto en el último párrafo del apartado anterior.</w:t>
      </w:r>
    </w:p>
    <w:p w14:paraId="0C9738A3" w14:textId="71054E01" w:rsidR="00533BCB" w:rsidRDefault="00983D76" w:rsidP="00533BCB">
      <w:r>
        <w:t>Conforme a dicho artículo,</w:t>
      </w:r>
      <w:r w:rsidR="004753F1">
        <w:t xml:space="preserve"> no resulta admisible que los elementos esenciales para la determinación de la cuota tributaria se remitan a informes o actos administrativos posteriores</w:t>
      </w:r>
      <w:r w:rsidR="00533BCB">
        <w:t>, en los que se recojan los datos necesarios para el cálculo de las cuotas (kilos de residuos generados por persona empadronada en cada barrio; toneladas generadas por cada uso catastral en cada una de las zonas homogéneas; o los indicadores de calidad en la separación de los residuos en cada barrio) a los que se refiere el artículo 12.3 de la Ordenanza Fiscal.</w:t>
      </w:r>
    </w:p>
    <w:p w14:paraId="05085701" w14:textId="77777777" w:rsidR="001875ED" w:rsidRDefault="00533BCB" w:rsidP="00533BCB">
      <w:r>
        <w:t>Estos elementos de cuantificación de la tasa fueron recogidos en la Resolución de la Directora de la Agencia Tributaria Madrid, de 27 de marzo de 2025, pero al aprobarse mediante un acto administrativo de trámite</w:t>
      </w:r>
      <w:r w:rsidR="001875ED">
        <w:t>:</w:t>
      </w:r>
    </w:p>
    <w:p w14:paraId="7A0A0DDE" w14:textId="43D47465" w:rsidR="00033AE5" w:rsidRDefault="00033AE5" w:rsidP="001875ED">
      <w:pPr>
        <w:pStyle w:val="Prrafodelista"/>
        <w:numPr>
          <w:ilvl w:val="0"/>
          <w:numId w:val="28"/>
        </w:numPr>
      </w:pPr>
      <w:r>
        <w:t>Se dicta por un órgano administrativo incompetente para el establecimiento</w:t>
      </w:r>
      <w:r w:rsidR="00E0770D">
        <w:t xml:space="preserve"> de los elementos de la cuota tributaria.</w:t>
      </w:r>
    </w:p>
    <w:p w14:paraId="44184837" w14:textId="23EC7D6E" w:rsidR="00E0770D" w:rsidRDefault="00E0770D" w:rsidP="001875ED">
      <w:pPr>
        <w:pStyle w:val="Prrafodelista"/>
        <w:numPr>
          <w:ilvl w:val="0"/>
          <w:numId w:val="28"/>
        </w:numPr>
      </w:pPr>
      <w:r>
        <w:t>Se impide</w:t>
      </w:r>
      <w:r w:rsidR="00EB49C6">
        <w:t xml:space="preserve"> al administrado recurrir dicho acto</w:t>
      </w:r>
      <w:r w:rsidR="00DD02A8">
        <w:t xml:space="preserve">, dado que, según su propio contenido </w:t>
      </w:r>
      <w:r w:rsidR="00B60394">
        <w:rPr>
          <w:i/>
          <w:iCs/>
        </w:rPr>
        <w:t>“contra la presente resolución, que tiene</w:t>
      </w:r>
      <w:r w:rsidR="00A81F50">
        <w:rPr>
          <w:i/>
          <w:iCs/>
        </w:rPr>
        <w:t xml:space="preserve"> la naturaleza de acto de trámite, no sabrá interponer recurso alguno”.</w:t>
      </w:r>
    </w:p>
    <w:p w14:paraId="4B963788" w14:textId="77777777" w:rsidR="00533BCB" w:rsidRDefault="00533BCB" w:rsidP="00533BCB">
      <w:r>
        <w:t>En efecto, esta omisión de datos esenciales para la cuantificación de la tasa se aprecia, en concreto, en relación con distintos parámetros necesarios para cuantificar la llamada “tarifa por generación” de los inmuebles de uso residencial. El artículo 9.3 define la tarifa por generación como el «valor de la cantidad de residuos generados en cada inmueble del término municipal». Sin embargo, después de individualizar los residuos que se generan en cada inmueble, la Ordenanza Fiscal no incluye los siguientes datos imprescindibles para su cuantificación:</w:t>
      </w:r>
    </w:p>
    <w:p w14:paraId="2BA81562" w14:textId="576EE353" w:rsidR="00533BCB" w:rsidRDefault="00533BCB" w:rsidP="00533BCB">
      <w:pPr>
        <w:pStyle w:val="Letrasexterior"/>
      </w:pPr>
      <w:r>
        <w:t xml:space="preserve">Número de empadronados en cada inmueble. </w:t>
      </w:r>
      <w:r w:rsidR="00453218">
        <w:t xml:space="preserve">El Ayuntamiento tiene este dato, pero ha preferido ignorarlo, utilizando </w:t>
      </w:r>
      <w:r>
        <w:t xml:space="preserve">el promedio de empadronados en cada barrio de Madrid. Además, ese dato, esencial para la liquidación del tributo, no se incluye en la Ordenanza, sino </w:t>
      </w:r>
      <w:r w:rsidR="00453218">
        <w:t>en</w:t>
      </w:r>
      <w:r>
        <w:t xml:space="preserve"> el Anexo de la Resolución de la Directora de la Agencia Tributaria Madrid, de 27 de marzo de 2025. </w:t>
      </w:r>
    </w:p>
    <w:p w14:paraId="6A490EF1" w14:textId="1C9609AA" w:rsidR="00533BCB" w:rsidRDefault="00533BCB" w:rsidP="00533BCB">
      <w:pPr>
        <w:pStyle w:val="Letrasexterior"/>
      </w:pPr>
      <w:r>
        <w:t>Número de residuos generados por persona, año y barrio</w:t>
      </w:r>
      <w:r w:rsidR="00453218">
        <w:t xml:space="preserve"> que es esencial y determinante de la cuota y que no está en la Ordenanza</w:t>
      </w:r>
      <w:r>
        <w:t>, sino en el Anexo de la mencionada Resolución de la Directora de la Agencia Tributaria Madrid, de 27 de marzo de 2025.</w:t>
      </w:r>
    </w:p>
    <w:p w14:paraId="0FCF1230" w14:textId="7FD3CBC9" w:rsidR="00533BCB" w:rsidRDefault="00533BCB" w:rsidP="00533BCB">
      <w:pPr>
        <w:pStyle w:val="Letrasexterior"/>
      </w:pPr>
      <w:r>
        <w:t>Porcentaje de residuos separados correctamente.</w:t>
      </w:r>
      <w:r w:rsidR="00453218">
        <w:t xml:space="preserve"> Que sí está en la Ordenanza pero que no hay forma de aplicar si no se conocen los datos establecidos en el</w:t>
      </w:r>
      <w:r>
        <w:t xml:space="preserve"> Anexo de la Resolución de la Directora de la Agencia Tributaria Madrid, de 27 de marzo de 2025.</w:t>
      </w:r>
    </w:p>
    <w:p w14:paraId="15F97EBA" w14:textId="77777777" w:rsidR="00533BCB" w:rsidRDefault="00533BCB" w:rsidP="00533BCB">
      <w:r>
        <w:t>Algo parecido sucede con la “tarifa por generación” de inmuebles de uso no residencial, cuya cuantificación debe realizarse (según el art. 11.2 de la OF) en función de «las toneladas de residuos que se hubieran generado por dicho uso catastral en la zona homogénea a la que pertenece el distrito en el que se ubica el inmueble». Pero ese dato no se incluye en la ordenanza reguladora de la tasa, sino en el Anexo de la Resolución de la Directora de la Agencia Tributaria Madrid, de 27 de marzo de 2025.</w:t>
      </w:r>
    </w:p>
    <w:p w14:paraId="1F7F5D65" w14:textId="77777777" w:rsidR="00533BCB" w:rsidRPr="005F7935" w:rsidRDefault="00533BCB" w:rsidP="00533BCB">
      <w:r>
        <w:t>Esa omisión de datos esenciales para la liquidación del tributo es determinante de la ilegalidad de la tasa impugnada por suponer una contravención abierta del mandato contenido en el artículo 16 del TRLRHL, y porque sitúa al contribuyente en una clara posición de indefensión, en tanto que no puede contrastar la recta aplicación de los criterios de cuantificación de la tasa al no contenerse en la disposición general aplicada.</w:t>
      </w:r>
    </w:p>
    <w:p w14:paraId="5709D795" w14:textId="4F08092D" w:rsidR="00620937" w:rsidRDefault="00620937" w:rsidP="00620937">
      <w:pPr>
        <w:pStyle w:val="Ttulo1"/>
      </w:pPr>
      <w:r>
        <w:t xml:space="preserve">Nulidad de la liquidación impugnada </w:t>
      </w:r>
      <w:r w:rsidR="00030137">
        <w:t>por el carácter confiscatorio de la tasa y la infracción del principio de capacidad del artículo 31 ce. doble imposición.</w:t>
      </w:r>
    </w:p>
    <w:p w14:paraId="56F52DF9" w14:textId="3F140EEA" w:rsidR="00B41D69" w:rsidRDefault="00B41D69" w:rsidP="00620937">
      <w:r>
        <w:t>La tasa de prestación del servicio de residuos</w:t>
      </w:r>
      <w:r w:rsidR="00CE11CF">
        <w:t xml:space="preserve"> (que, como hemos visto, participa más de la naturaleza jurídica de un impuesto que de una tasa)</w:t>
      </w:r>
      <w:r w:rsidR="00C27BC8">
        <w:t xml:space="preserve"> y el Impuesto sobre bienes inmuebles</w:t>
      </w:r>
      <w:r w:rsidR="00D3723D">
        <w:t xml:space="preserve"> se solapan, de tal forma que la suma de sus cuotas tiene carácter confiscatorio e infringe el principio de capacidad (económica y para afectar como modalidad del principio de capacidad económica)</w:t>
      </w:r>
      <w:r w:rsidR="00C7164B">
        <w:t xml:space="preserve"> previsto en el artículo 31 CE.</w:t>
      </w:r>
    </w:p>
    <w:p w14:paraId="2874CD45" w14:textId="77A70893" w:rsidR="004478F9" w:rsidRDefault="004478F9" w:rsidP="004478F9">
      <w:r>
        <w:t xml:space="preserve">El Tribunal Constitucional ha declarado que la doble imposición, únicamente se encuentra expresamente prohibida, desde el punto de vista constitucional, entre tributos estatales y autonómicos. No obstante, sí tiene alcance constitucional cuando esa doble imposición tenga carácter confiscatorio o se infrinja el principio de capacidad </w:t>
      </w:r>
    </w:p>
    <w:p w14:paraId="23F386EB" w14:textId="227FBA58" w:rsidR="004478F9" w:rsidRDefault="004478F9" w:rsidP="004478F9">
      <w:r>
        <w:t>En este sentido se ha pronunciado el Tribunal Constitucional, en su sentencia nº 242/2004, de 16 de diciembre (RTC 2004/242), en la que se expresa que</w:t>
      </w:r>
    </w:p>
    <w:p w14:paraId="508BAE5A" w14:textId="71758B92" w:rsidR="004478F9" w:rsidRPr="004478F9" w:rsidRDefault="004478F9" w:rsidP="004478F9">
      <w:pPr>
        <w:pStyle w:val="Cita"/>
      </w:pPr>
      <w:r w:rsidRPr="004478F9">
        <w:t>Es más, incluso admitiendo hipotéticamente que se tratase de un supuesto de doble imposición</w:t>
      </w:r>
      <w:r>
        <w:t xml:space="preserve"> </w:t>
      </w:r>
      <w:r w:rsidRPr="004478F9">
        <w:t>tributaria, tampoco esto determinaría per se la inconstitucionalidad de las normas implicadas, pues la única prohibición de doble imposición en materia tributaria que se encuentra expresamente recogida en el bloque de la constitucionalidad viene establecida en el art. 6 de la  Ley Orgánica de financiación de las Comunidades Autónomas  ( RCL 1980, 2165)   (LOFCA) y «garantiza que sobre los ciudadanos no pueda recaer la obligación material de pagar doblemente [al Estado y a las Comunidades Autónomas, o a las entidades locales y a las Comunidades Autónomas] por un mismo hecho imponible» [  SSTC 37/1987, de 26 de marzo  ( RTC 1987, 37)  , F. 14; 149/1991, de 4 de julio, F. 5 A);  186/1993, de 7 de junio  ( RTC 1993, 186)  , F. 4 c);  14/1998  ( RTC 1998, 14)  , fundamento jurídico 11 c); y  233/1999, de 16 de diciembre  ( RTC 1999, 233)  , F. 23]. Fuera de este supuesto, la existencia de un doble gravamen por una misma manifestación de riqueza sólo debería analizarse desde el punto de vista del principio de capacidad económica y de la prohibición de no confiscatoriedad a que hace referencia el art. 31.1  CE  ( RCL 1978, 2836).</w:t>
      </w:r>
    </w:p>
    <w:p w14:paraId="19AC8964" w14:textId="48B3F8F8" w:rsidR="004478F9" w:rsidRDefault="004478F9" w:rsidP="004478F9">
      <w:r>
        <w:t>Con la finalidad de examinar si existe doble imposición, es preciso analizar, no sólo el hecho imponible estrictamente, sino el resto de los elementos configuradores del tributo. Así lo declara el Tribunal Constitucional en su reciente sentencia nº 110/2014, de 26 de junio (RTC 2014/10) al expresar que</w:t>
      </w:r>
    </w:p>
    <w:p w14:paraId="62534F40" w14:textId="0B1F7AE0" w:rsidR="005E1C75" w:rsidRDefault="004478F9" w:rsidP="004478F9">
      <w:pPr>
        <w:pStyle w:val="Cita"/>
      </w:pPr>
      <w:r>
        <w:t>A este respecto «para analizar si una Comunidad Autónoma ha sobrepasado en el ejercicio de sus competencias en materia tributaria los límites que le impone el art. 6 LOFCA y, por tanto, para determinar si ha incurrido en una doble imposición contraria a dicho precepto orgánico, ya lo sea con relación a los hechos imponibles gravados por el Estado, ya lo sea respecto de las materias imponibles reservadas a las corporaciones locales, el examen de los tributos que se reputan coincidentes no puede ceñirse a la mera comparación de la definición legal de sus hechos imponibles, debiendo abarcar también los restantes elementos del tributo que se encuentran conectados con el hecho imponible, tales como los supuestos de no sujeción o exención, los sujetos pasivos, la base imponible, los elementos de determinación de la deuda tributaria y, en fin, la posible concurrencia de una finalidad extrafiscal reflejada, no en el preámbulo de la norma reguladora, sino en la propia estructura del impuesto ( STC 60/2013  [RTC 2013, 60] , FJ 3, con cita de las  SSTC 122/2012, de 5 de junio  [RTC 2012, 122] , FJ 4, y  210/2012, de 14 de noviembre  [RTC 2012, 2010] , FJ 4)».</w:t>
      </w:r>
    </w:p>
    <w:p w14:paraId="151CCBED" w14:textId="17C660BA" w:rsidR="004478F9" w:rsidRPr="00D4384C" w:rsidRDefault="007E49F1" w:rsidP="004478F9">
      <w:pPr>
        <w:pStyle w:val="Cita"/>
        <w:ind w:left="0"/>
        <w:rPr>
          <w:sz w:val="20"/>
        </w:rPr>
      </w:pPr>
      <w:r>
        <w:rPr>
          <w:i w:val="0"/>
          <w:iCs w:val="0"/>
          <w:sz w:val="20"/>
        </w:rPr>
        <w:t>Aunque el hecho imponible con coincida estrictamente,</w:t>
      </w:r>
      <w:r w:rsidR="00D4384C">
        <w:rPr>
          <w:i w:val="0"/>
          <w:iCs w:val="0"/>
          <w:sz w:val="20"/>
        </w:rPr>
        <w:t xml:space="preserve"> en ambos supuestos se grava la misma manifestación de riqueza, utilizando</w:t>
      </w:r>
      <w:r w:rsidR="006071DE">
        <w:rPr>
          <w:i w:val="0"/>
          <w:iCs w:val="0"/>
          <w:sz w:val="20"/>
        </w:rPr>
        <w:t xml:space="preserve"> como base para la determinación de la cuota el valor catastral del inmueble.</w:t>
      </w:r>
    </w:p>
    <w:p w14:paraId="714AB48B" w14:textId="1D816A03" w:rsidR="004478F9" w:rsidRDefault="003F1C02" w:rsidP="004478F9">
      <w:r w:rsidRPr="008444B9">
        <w:t>En obvio, que la base imponible de ambos tributos coincide, de tal forma que, en ambos casos, se grava</w:t>
      </w:r>
      <w:r>
        <w:t xml:space="preserve"> el valor catastral del inmueble.</w:t>
      </w:r>
      <w:r w:rsidR="00952E26">
        <w:t xml:space="preserve"> Además de la base imponible, la finalidad de los tributos es la misma, la financiación local, aunque la finalidad declarada de la tasa sea otra, reiterándose mutatis mutandis lo expresado en la alegación primera de este escrito.</w:t>
      </w:r>
    </w:p>
    <w:p w14:paraId="7A5F5F9A" w14:textId="1C56FB7B" w:rsidR="00890FBC" w:rsidRDefault="00890FBC" w:rsidP="00890FBC">
      <w:r>
        <w:t>En este sentido, interesa citar la sentencia nº 289/2000 del Tribunal Constitucional, de 30 de noviembre (RTC 2000/289), en la que se analiza un tributo para comprobar su verdadera finalidad y se concluye la existencia de doble imposición. En dicha sentencia se expresa lo siguiente:</w:t>
      </w:r>
    </w:p>
    <w:p w14:paraId="37E39BCB" w14:textId="77777777" w:rsidR="00890FBC" w:rsidRDefault="00890FBC" w:rsidP="00890FBC">
      <w:pPr>
        <w:pStyle w:val="Cita"/>
      </w:pPr>
      <w:r>
        <w:t xml:space="preserve">Sin embargo, el análisis de la estructura del nuevo impuesto autonómico no permite llegar a esta conclusión. En efecto, aunque la Exposición de Motivos exteriorice una pretendida finalidad protectora del medio ambiente, según la Ley autonómica el hecho imponible del Impuesto lo constituye la titularidad de elementos patrimoniales afectos a la realización de las actividades que integran el objeto del tributo, a saber, las de producción, almacenaje, transformación, transporte efectuado por elementos fijos y suministro de energía eléctrica y de carburantes y combustibles sólidos, líquidos o gaseosos, así como a las de comunicaciones telefónicas o telemáticas; siendo lo sometido a tributación (verdadera riqueza gravada), el valor de los elementos patrimoniales calculado mediante la capitalización del promedio de los ingresos brutos de explotación durante los tres últimos ejercicios o, lo que es lo mismo, articulándose el gravamen con independencia de la capacidad o aptitud de cada uno para incidir en el medio ambiente que se dice proteger. Estamos, pues, en presencia de un tributo que no grava directamente la actividad contaminante, sino la titularidad de unas determinadas instalaciones y, como veremos de inmediato, el hecho de que el valor de esas instalaciones se calcule mediante la capitalización de los ingresos no trasmuta lo que es impuesto sobre unos elementos patrimoniales en un impuesto sobre actividades contaminantes. </w:t>
      </w:r>
    </w:p>
    <w:p w14:paraId="2DC4DBDA" w14:textId="31DC9689" w:rsidR="00952E26" w:rsidRDefault="00890FBC" w:rsidP="00890FBC">
      <w:pPr>
        <w:pStyle w:val="Cita"/>
      </w:pPr>
      <w:r>
        <w:t>En efecto, a diferencia del Impuesto extremeño sobre dehesas calificadas en deficiente aprovechamiento y del Impuesto andaluz sobre tierras infrautilizadas, respecto de los que este Tribunal tuvo ocasión de declarar que no gravaban la titularidad de los bienes afectados, sino algo distinto cual es la «infrautilización» de los mismos (SSTC 186/1993, de 7 de junio, y 37/1987, de 26 de marzo, respectivamente), ya que fueron creados con la intención, no de establecer una nueva fuente de ingresos públicos con fines fiscales, sino de coadyuvar, en sentido negativo, a disuadir a los titulares de esas propiedades (dehesas y tierras infrautilizadas) del incumplimiento de las obligaciones inherentes a la función social de la propiedad de la tierra, y en sentido positivo, a estimularles para que obtuviesen de sus propiedades los rendimientos económicos y sociales que les eran legalmente exigibles, el IBIAMA, bajo la aparente finalidad protectora del medio ambiente, no arbitra instrumento alguno que se dirija a la consecución de ese fin, con lo que, a la postre, no grava la capacidad económica pretendidamente sometida a imposición, como una forma de contribuir al sostenimiento del gasto público que genera la indebida, o incluso debida, utilización del medio ambiente (manifestación concreta del principio de «quien contamina paga»).</w:t>
      </w:r>
    </w:p>
    <w:p w14:paraId="3B420855" w14:textId="77777777" w:rsidR="00BA6C84" w:rsidRDefault="00BA6C84" w:rsidP="00BA6C84">
      <w:pPr>
        <w:pStyle w:val="Cita"/>
      </w:pPr>
      <w:r>
        <w:t xml:space="preserve">En efecto, el tributo cuestionado no se dirige, en sentido negativo, a disuadir el incumplimiento de ninguna obligación, pero tampoco busca, en sentido positivo, estimular actuaciones protectoras del medio ambiente, en cumplimiento del art. 45.1 CE, desvinculándose así de la verdadera aptitud de cada sujeto para incidir en el medio en el que se desenvuelve (es decir, de la capacidad para afectar como modalidad del principio de capacidad económica previsto en el art. 31.1 CE). En consecuencia, no cabe considerar que el referido impuesto grave efectivamente la actividad contaminante cuando desconoce el impacto ambiental en que incurren los sujetos llamados a soportarlo, o lo que es lo mismo, la medida concreta en la que cada uno afecta al medio ambiente (sea persona física o jurídica). Si lo efectivamente gravado fuese la actividad contaminante se habrían sometido a imposición todas aquellas instalaciones, cualquiera que fuese la clase de actividad a la que se hallasen afectas, que de alguna manera pudiesen atentar contra ese medio ambiente, buscando un efecto disuasorio o estimulante de la realización de conductas dañinas o protectoras del entorno ecológico en el que se desenvuelve la actividad. Ello implicaría, entonces, de un lado, la insoslayable vinculación de la tributación soportada a la consecución de la finalidad pretendida (como se hizo, por ejemplo, tanto en el Impuesto andaluz sobre tierras infrautilizadas como en el Impuesto extremeño sobre dehesas calificadas en deficiente aprovechamiento, donde se sometía a tributación la diferencia entre rendimiento óptimo o potencial y el obtenido o real, respectivamente) y, de otra parte, el sometimiento al gravamen de todas aquellas instalaciones que fuesen potencialmente dañinas para el medio ambiente, con independencia de la naturaleza de la actividad a la que estuviesen afectadas o de la persona (física, jurídica o ente sin personalidad jurídica de los previstos en el art. 33  LGT  [ RCL 1963, 2490 y NDL 15243]  ) que fuese su titular. </w:t>
      </w:r>
    </w:p>
    <w:p w14:paraId="0962B152" w14:textId="0132CA0D" w:rsidR="00BA6C84" w:rsidRPr="00BA6C84" w:rsidRDefault="00BA6C84" w:rsidP="00BA6C84">
      <w:r>
        <w:t>El Tribunal Constitucional concluye que, atendiendo a la configuración y naturaleza real del tributo, existe doble imposición, además de la infracción del principio de capacidad para afectar como modalidad del principio de capacidad económica.</w:t>
      </w:r>
    </w:p>
    <w:p w14:paraId="370D1660" w14:textId="26B4D903" w:rsidR="00620937" w:rsidRDefault="009F361A" w:rsidP="00620937">
      <w:r>
        <w:t>S</w:t>
      </w:r>
      <w:r w:rsidR="00620937">
        <w:t>obre una misma manifestación de riqueza (el valor catastral del inmueble) el Ayuntamiento aplica dos impuestos en un mismo período impositivo o ante un mismo evento o situación económica.</w:t>
      </w:r>
    </w:p>
    <w:p w14:paraId="475A5F9D" w14:textId="77777777" w:rsidR="00620937" w:rsidRDefault="00620937" w:rsidP="00620937">
      <w:r>
        <w:t>En efecto, debemos considerar que en ambos tributos (IBI y Tasa de Basuras) el sujeto activo y el sujeto pasivo son los mismos; la situación que determina el nacimiento de la obligación tributaria es la misma (valor catastral del inmueble); el ámbito de aplicación territorial es el mismo (término municipal de Madrid); el devengo o el período impositivo se dan de la misma forma (año natural); el hecho imponible se mide cuantitativamente de la misma manera (la riqueza manifestada en el valor catastral), o sea, la base se calcula de la misma forma. En definitiva, puesto que todos estos elementos y aspectos son lo mismo en dos impuestos, esos dos impuestos, aunque tengan una denominación distinta, en la práctica son lo mismo. Por lo que no tiene sentido que en un ordenamiento tributario existan dos impuestos iguales. Sería algo inútil, pues para conseguir el mismo resultado bastaría con aumentar el tipo de gravamen en uno de ellos, ahorrándose así el coste de recaudación del otro.</w:t>
      </w:r>
    </w:p>
    <w:p w14:paraId="7F1B5EC1" w14:textId="77777777" w:rsidR="00620937" w:rsidRDefault="00620937" w:rsidP="00620937">
      <w:r>
        <w:t xml:space="preserve">Hasta hoy, el IBI absorbía a la antigua tasa de recogida de basuras, financiándose con el citado impuesto el coste del servicio. Hoy, al revertir el proceso, en lugar de volver a los métodos de repercusión del coste anteriores que sí que respetaban el principio de equivalencia, se ha tratado de respetar el mecanismo del IBI haciendo, más que una tasa por el servicio de gestión de residuos, un recargo del IBI, que sirve para sumar un importe equivalente al mencionado coste, pero de forma injustificada, saltándose los controles de legalidad y vulnerando los principios constitucionales en materia tributaria. </w:t>
      </w:r>
    </w:p>
    <w:p w14:paraId="571BA9B4" w14:textId="06349E4F" w:rsidR="00620937" w:rsidRDefault="00620937" w:rsidP="00620937">
      <w:r>
        <w:t xml:space="preserve">La evidencia de la doble imposición de la tasa y del IBI queda reflejada en el hecho de que el Ayuntamiento redujo el tipo impositivo del Impuesto de Bienes Inmuebles del 0,442 al 0,428, como medida para compensar el impacto económico de la tasa. </w:t>
      </w:r>
      <w:r w:rsidR="009F361A">
        <w:t>S</w:t>
      </w:r>
      <w:r>
        <w:t xml:space="preserve">e rebaja el IBI y se incorpora una nueva figura tributaria, que se aleja de los métodos de repercusión objetiva del coste. En efecto, decimos que la reducción del tipo impositivo del IBI resulta una medida claramente insuficiente para compensar el mayor y significativo coste que supone esta nueva tasa para las familias madrileñas. </w:t>
      </w:r>
      <w:r w:rsidR="006D76DD">
        <w:t>Lo único que se ha conseguido con esta tasa es incrementar, injustificadamente, las cargas impositivas de los ciudadanos.</w:t>
      </w:r>
    </w:p>
    <w:p w14:paraId="6BD5B1EF" w14:textId="77777777" w:rsidR="009F361A" w:rsidRDefault="009F361A" w:rsidP="009F361A"/>
    <w:p w14:paraId="18197A7F" w14:textId="470D9BBA" w:rsidR="007A723D" w:rsidRDefault="007A723D" w:rsidP="00B43BF0">
      <w:r>
        <w:t>Por lo expuesto, a esa Agencia Tributaria</w:t>
      </w:r>
    </w:p>
    <w:p w14:paraId="2A0D98B6" w14:textId="77777777" w:rsidR="006D76DD" w:rsidRDefault="006D76DD" w:rsidP="00B43BF0"/>
    <w:p w14:paraId="5E3E3D7C" w14:textId="77777777" w:rsidR="006D76DD" w:rsidRDefault="006D76DD" w:rsidP="00B43BF0"/>
    <w:p w14:paraId="14DD50C0" w14:textId="77777777" w:rsidR="006D76DD" w:rsidRDefault="006D76DD" w:rsidP="00B43BF0"/>
    <w:p w14:paraId="1AC47BA5" w14:textId="77777777" w:rsidR="006D76DD" w:rsidRDefault="006D76DD" w:rsidP="00B43BF0"/>
    <w:p w14:paraId="60050EE0" w14:textId="77777777" w:rsidR="006D76DD" w:rsidRDefault="006D76DD" w:rsidP="00B43BF0"/>
    <w:p w14:paraId="720A96AA" w14:textId="77777777" w:rsidR="006D76DD" w:rsidRDefault="006D76DD" w:rsidP="00B43BF0"/>
    <w:p w14:paraId="719CFC38" w14:textId="77777777" w:rsidR="006D76DD" w:rsidRDefault="006D76DD" w:rsidP="00B43BF0"/>
    <w:p w14:paraId="2608E249" w14:textId="49222EAC" w:rsidR="007A723D" w:rsidRDefault="007A723D" w:rsidP="00B43BF0">
      <w:r>
        <w:rPr>
          <w:b/>
          <w:bCs/>
        </w:rPr>
        <w:t xml:space="preserve">SOLICITO: </w:t>
      </w:r>
      <w:r>
        <w:t xml:space="preserve">Que tenga por presentado este escrito, se sirva admitirlo, tenga por interpuesto recurso de reposición contra la liquidación de la tasa por prestación del servicio de gestión de residuos de competencia municipal, del ejercicio 2025, correspondiente al inmueble situado en la calle </w:t>
      </w:r>
      <w:r w:rsidR="00C7229E">
        <w:t>[x]</w:t>
      </w:r>
      <w:r>
        <w:t xml:space="preserve">, con referencia catastral </w:t>
      </w:r>
      <w:r w:rsidR="00C7229E">
        <w:t>[x]</w:t>
      </w:r>
      <w:r>
        <w:t xml:space="preserve">, por importe de </w:t>
      </w:r>
      <w:r w:rsidR="00C7229E">
        <w:t>[x]</w:t>
      </w:r>
      <w:r>
        <w:t xml:space="preserve"> € y, en mérito a lo expuesto, estime el mismo, acordando:</w:t>
      </w:r>
    </w:p>
    <w:p w14:paraId="372F09FB" w14:textId="777D5C33" w:rsidR="007A723D" w:rsidRDefault="007A723D" w:rsidP="007A723D">
      <w:pPr>
        <w:pStyle w:val="Prrafodelista"/>
        <w:numPr>
          <w:ilvl w:val="0"/>
          <w:numId w:val="26"/>
        </w:numPr>
      </w:pPr>
      <w:r>
        <w:t>Anular la liquidación recurrida.</w:t>
      </w:r>
    </w:p>
    <w:p w14:paraId="7EE49459" w14:textId="77777777" w:rsidR="006D76DD" w:rsidRDefault="006D76DD" w:rsidP="006D76DD">
      <w:pPr>
        <w:pStyle w:val="Prrafodelista"/>
      </w:pPr>
    </w:p>
    <w:p w14:paraId="03B8AEED" w14:textId="5B605E61" w:rsidR="007A723D" w:rsidRDefault="007A723D" w:rsidP="007A723D">
      <w:pPr>
        <w:pStyle w:val="Prrafodelista"/>
        <w:numPr>
          <w:ilvl w:val="0"/>
          <w:numId w:val="26"/>
        </w:numPr>
      </w:pPr>
      <w:r>
        <w:t xml:space="preserve">Devolver a mi representada </w:t>
      </w:r>
      <w:r w:rsidR="000B1BCC">
        <w:t>la cantidad abonada</w:t>
      </w:r>
      <w:r w:rsidR="00B3374B">
        <w:t>, junto con los intereses</w:t>
      </w:r>
      <w:r w:rsidR="00E40E9F">
        <w:t xml:space="preserve"> moratorios del artículo 26.6 de la Ley </w:t>
      </w:r>
      <w:r w:rsidR="00A40199">
        <w:t>General Tributaria</w:t>
      </w:r>
      <w:r w:rsidR="00B3374B">
        <w:t xml:space="preserve"> que se devenguen desde la fecha de pago </w:t>
      </w:r>
      <w:r w:rsidR="00C7229E">
        <w:t>[x]</w:t>
      </w:r>
      <w:r w:rsidR="00B3374B">
        <w:t xml:space="preserve"> hasta su efectiva devolución.</w:t>
      </w:r>
    </w:p>
    <w:p w14:paraId="3DC6E57A" w14:textId="77777777" w:rsidR="00F13FB3" w:rsidRDefault="00F13FB3" w:rsidP="00F13FB3">
      <w:pPr>
        <w:pStyle w:val="Prrafodelista"/>
      </w:pPr>
    </w:p>
    <w:p w14:paraId="1CE8FBF7" w14:textId="27745473" w:rsidR="00B3374B" w:rsidRDefault="00B3374B" w:rsidP="00B3374B">
      <w:r>
        <w:t xml:space="preserve">Madrid, </w:t>
      </w:r>
      <w:r w:rsidR="00F13FB3">
        <w:t>[x] de [x]</w:t>
      </w:r>
      <w:r w:rsidR="00920F17">
        <w:t xml:space="preserve"> de 2025.</w:t>
      </w:r>
    </w:p>
    <w:p w14:paraId="2646737A" w14:textId="77777777" w:rsidR="00066946" w:rsidRDefault="00066946" w:rsidP="00B3374B"/>
    <w:p w14:paraId="360320B0" w14:textId="77777777" w:rsidR="00066946" w:rsidRDefault="00066946" w:rsidP="00B3374B"/>
    <w:p w14:paraId="5EDDFC87" w14:textId="77777777" w:rsidR="00066946" w:rsidRDefault="00066946" w:rsidP="00B3374B"/>
    <w:p w14:paraId="458CCCBA" w14:textId="77777777" w:rsidR="00066946" w:rsidRDefault="00066946" w:rsidP="00B3374B"/>
    <w:p w14:paraId="044E7CC1" w14:textId="77777777" w:rsidR="00BF3CD1" w:rsidRPr="00C307A3" w:rsidRDefault="00BF3CD1" w:rsidP="008C5289"/>
    <w:sectPr w:rsidR="00BF3CD1" w:rsidRPr="00C307A3">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F0F07" w14:textId="77777777" w:rsidR="00EF3458" w:rsidRDefault="00EF3458" w:rsidP="00BE0EDA">
      <w:pPr>
        <w:spacing w:before="0" w:after="0" w:line="240" w:lineRule="auto"/>
      </w:pPr>
      <w:r>
        <w:separator/>
      </w:r>
    </w:p>
  </w:endnote>
  <w:endnote w:type="continuationSeparator" w:id="0">
    <w:p w14:paraId="6EC3EF0C" w14:textId="77777777" w:rsidR="00EF3458" w:rsidRDefault="00EF3458" w:rsidP="00BE0E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102281"/>
      <w:docPartObj>
        <w:docPartGallery w:val="Page Numbers (Bottom of Page)"/>
        <w:docPartUnique/>
      </w:docPartObj>
    </w:sdtPr>
    <w:sdtEndPr/>
    <w:sdtContent>
      <w:p w14:paraId="3E02C19C" w14:textId="77777777" w:rsidR="008804BD" w:rsidRDefault="008804BD">
        <w:pPr>
          <w:pStyle w:val="Piedepgina"/>
          <w:jc w:val="right"/>
        </w:pPr>
        <w:r>
          <w:t xml:space="preserve">Page | </w:t>
        </w:r>
        <w:r>
          <w:fldChar w:fldCharType="begin"/>
        </w:r>
        <w:r>
          <w:instrText xml:space="preserve"> PAGE   \* MERGEFORMAT </w:instrText>
        </w:r>
        <w:r>
          <w:fldChar w:fldCharType="separate"/>
        </w:r>
        <w:r w:rsidR="007E700B">
          <w:rPr>
            <w:noProof/>
          </w:rPr>
          <w:t>1</w:t>
        </w:r>
        <w:r>
          <w:rPr>
            <w:noProof/>
          </w:rPr>
          <w:fldChar w:fldCharType="end"/>
        </w:r>
        <w:r>
          <w:t xml:space="preserve"> </w:t>
        </w:r>
      </w:p>
    </w:sdtContent>
  </w:sdt>
  <w:p w14:paraId="0ACA515F" w14:textId="77777777" w:rsidR="008804BD" w:rsidRDefault="008804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9419D" w14:textId="77777777" w:rsidR="00EF3458" w:rsidRDefault="00EF3458" w:rsidP="00BE0EDA">
      <w:pPr>
        <w:spacing w:before="0" w:after="0" w:line="240" w:lineRule="auto"/>
      </w:pPr>
      <w:r>
        <w:separator/>
      </w:r>
    </w:p>
  </w:footnote>
  <w:footnote w:type="continuationSeparator" w:id="0">
    <w:p w14:paraId="0245E47A" w14:textId="77777777" w:rsidR="00EF3458" w:rsidRDefault="00EF3458" w:rsidP="00BE0ED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61D6"/>
    <w:multiLevelType w:val="hybridMultilevel"/>
    <w:tmpl w:val="4C74560C"/>
    <w:lvl w:ilvl="0" w:tplc="034CDF10">
      <w:start w:val="1"/>
      <w:numFmt w:val="lowerRoman"/>
      <w:pStyle w:val="Romanilloexterior"/>
      <w:lvlText w:val="(%1)"/>
      <w:lvlJc w:val="left"/>
      <w:pPr>
        <w:ind w:left="720" w:hanging="360"/>
      </w:pPr>
      <w:rPr>
        <w:rFonts w:ascii="Arial" w:hAnsi="Arial" w:hint="default"/>
        <w:b w:val="0"/>
        <w:i w:val="0"/>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E1BF9"/>
    <w:multiLevelType w:val="hybridMultilevel"/>
    <w:tmpl w:val="A0A6AA32"/>
    <w:lvl w:ilvl="0" w:tplc="EF9602B8">
      <w:start w:val="1"/>
      <w:numFmt w:val="lowerLetter"/>
      <w:pStyle w:val="Ttulo4"/>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F5019D"/>
    <w:multiLevelType w:val="hybridMultilevel"/>
    <w:tmpl w:val="11C0596A"/>
    <w:lvl w:ilvl="0" w:tplc="CC0EAA94">
      <w:start w:val="1"/>
      <w:numFmt w:val="lowerRoman"/>
      <w:lvlText w:val="(%1)"/>
      <w:lvlJc w:val="left"/>
      <w:pPr>
        <w:ind w:left="1080" w:hanging="720"/>
      </w:pPr>
      <w:rPr>
        <w:rFonts w:ascii="Arial" w:eastAsiaTheme="minorHAnsi" w:hAnsi="Arial" w:cstheme="minorBidi"/>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EF4B32"/>
    <w:multiLevelType w:val="hybridMultilevel"/>
    <w:tmpl w:val="3B267B78"/>
    <w:lvl w:ilvl="0" w:tplc="2A70876E">
      <w:start w:val="1"/>
      <w:numFmt w:val="lowerLetter"/>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4" w15:restartNumberingAfterBreak="0">
    <w:nsid w:val="0A52104A"/>
    <w:multiLevelType w:val="hybridMultilevel"/>
    <w:tmpl w:val="6916DCFC"/>
    <w:lvl w:ilvl="0" w:tplc="AB3CA416">
      <w:start w:val="1"/>
      <w:numFmt w:val="upperRoman"/>
      <w:pStyle w:val="Ttulo1"/>
      <w:lvlText w:val="%1."/>
      <w:lvlJc w:val="left"/>
      <w:pPr>
        <w:ind w:left="428" w:hanging="360"/>
      </w:pPr>
      <w:rPr>
        <w:rFonts w:hint="default"/>
      </w:rPr>
    </w:lvl>
    <w:lvl w:ilvl="1" w:tplc="0C0A0019" w:tentative="1">
      <w:start w:val="1"/>
      <w:numFmt w:val="lowerLetter"/>
      <w:lvlText w:val="%2."/>
      <w:lvlJc w:val="left"/>
      <w:pPr>
        <w:ind w:left="-684" w:hanging="360"/>
      </w:pPr>
    </w:lvl>
    <w:lvl w:ilvl="2" w:tplc="0C0A001B" w:tentative="1">
      <w:start w:val="1"/>
      <w:numFmt w:val="lowerRoman"/>
      <w:lvlText w:val="%3."/>
      <w:lvlJc w:val="right"/>
      <w:pPr>
        <w:ind w:left="36" w:hanging="180"/>
      </w:pPr>
    </w:lvl>
    <w:lvl w:ilvl="3" w:tplc="0C0A000F" w:tentative="1">
      <w:start w:val="1"/>
      <w:numFmt w:val="decimal"/>
      <w:lvlText w:val="%4."/>
      <w:lvlJc w:val="left"/>
      <w:pPr>
        <w:ind w:left="756" w:hanging="360"/>
      </w:pPr>
    </w:lvl>
    <w:lvl w:ilvl="4" w:tplc="0C0A0019" w:tentative="1">
      <w:start w:val="1"/>
      <w:numFmt w:val="lowerLetter"/>
      <w:lvlText w:val="%5."/>
      <w:lvlJc w:val="left"/>
      <w:pPr>
        <w:ind w:left="1476" w:hanging="360"/>
      </w:pPr>
    </w:lvl>
    <w:lvl w:ilvl="5" w:tplc="0C0A001B" w:tentative="1">
      <w:start w:val="1"/>
      <w:numFmt w:val="lowerRoman"/>
      <w:lvlText w:val="%6."/>
      <w:lvlJc w:val="right"/>
      <w:pPr>
        <w:ind w:left="2196" w:hanging="180"/>
      </w:pPr>
    </w:lvl>
    <w:lvl w:ilvl="6" w:tplc="0C0A000F" w:tentative="1">
      <w:start w:val="1"/>
      <w:numFmt w:val="decimal"/>
      <w:lvlText w:val="%7."/>
      <w:lvlJc w:val="left"/>
      <w:pPr>
        <w:ind w:left="2916" w:hanging="360"/>
      </w:pPr>
    </w:lvl>
    <w:lvl w:ilvl="7" w:tplc="0C0A0019" w:tentative="1">
      <w:start w:val="1"/>
      <w:numFmt w:val="lowerLetter"/>
      <w:lvlText w:val="%8."/>
      <w:lvlJc w:val="left"/>
      <w:pPr>
        <w:ind w:left="3636" w:hanging="360"/>
      </w:pPr>
    </w:lvl>
    <w:lvl w:ilvl="8" w:tplc="0C0A001B" w:tentative="1">
      <w:start w:val="1"/>
      <w:numFmt w:val="lowerRoman"/>
      <w:lvlText w:val="%9."/>
      <w:lvlJc w:val="right"/>
      <w:pPr>
        <w:ind w:left="4356" w:hanging="180"/>
      </w:pPr>
    </w:lvl>
  </w:abstractNum>
  <w:abstractNum w:abstractNumId="5" w15:restartNumberingAfterBreak="0">
    <w:nsid w:val="103C0686"/>
    <w:multiLevelType w:val="hybridMultilevel"/>
    <w:tmpl w:val="8E7EEEB2"/>
    <w:lvl w:ilvl="0" w:tplc="4408579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0E41EAB"/>
    <w:multiLevelType w:val="hybridMultilevel"/>
    <w:tmpl w:val="CB5C2E6C"/>
    <w:lvl w:ilvl="0" w:tplc="349806D0">
      <w:start w:val="1"/>
      <w:numFmt w:val="upperLetter"/>
      <w:pStyle w:val="Ttulo3"/>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0D418B"/>
    <w:multiLevelType w:val="hybridMultilevel"/>
    <w:tmpl w:val="6316AA6A"/>
    <w:lvl w:ilvl="0" w:tplc="3CDE6A0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E661F"/>
    <w:multiLevelType w:val="hybridMultilevel"/>
    <w:tmpl w:val="60FC2FB6"/>
    <w:lvl w:ilvl="0" w:tplc="4C1AD9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09245C"/>
    <w:multiLevelType w:val="hybridMultilevel"/>
    <w:tmpl w:val="C268A484"/>
    <w:lvl w:ilvl="0" w:tplc="052E156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442AF5"/>
    <w:multiLevelType w:val="hybridMultilevel"/>
    <w:tmpl w:val="D4206AD6"/>
    <w:lvl w:ilvl="0" w:tplc="108E82AE">
      <w:start w:val="1"/>
      <w:numFmt w:val="lowerLetter"/>
      <w:lvlText w:val="(%1)"/>
      <w:lvlJc w:val="left"/>
      <w:pPr>
        <w:ind w:left="218" w:hanging="360"/>
      </w:pPr>
      <w:rPr>
        <w:rFonts w:hint="default"/>
        <w:b/>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1" w15:restartNumberingAfterBreak="0">
    <w:nsid w:val="1FBB73D4"/>
    <w:multiLevelType w:val="hybridMultilevel"/>
    <w:tmpl w:val="4DA2C2B4"/>
    <w:lvl w:ilvl="0" w:tplc="51023D5C">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2" w15:restartNumberingAfterBreak="0">
    <w:nsid w:val="22AC4C6F"/>
    <w:multiLevelType w:val="hybridMultilevel"/>
    <w:tmpl w:val="B824D3BC"/>
    <w:lvl w:ilvl="0" w:tplc="2E7A595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A377B5"/>
    <w:multiLevelType w:val="hybridMultilevel"/>
    <w:tmpl w:val="6442CCD4"/>
    <w:lvl w:ilvl="0" w:tplc="9B660648">
      <w:start w:val="1"/>
      <w:numFmt w:val="lowerLetter"/>
      <w:pStyle w:val="Letrasexterior"/>
      <w:lvlText w:val="(%1)"/>
      <w:lvlJc w:val="left"/>
      <w:pPr>
        <w:ind w:left="720" w:hanging="360"/>
      </w:pPr>
      <w:rPr>
        <w:rFonts w:ascii="Arial" w:hAnsi="Arial" w:hint="default"/>
        <w:b w:val="0"/>
        <w:i w:val="0"/>
        <w:color w:val="auto"/>
        <w:w w:val="102"/>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7F237E"/>
    <w:multiLevelType w:val="hybridMultilevel"/>
    <w:tmpl w:val="C908E762"/>
    <w:lvl w:ilvl="0" w:tplc="0C0A0001">
      <w:start w:val="1"/>
      <w:numFmt w:val="bullet"/>
      <w:lvlText w:val=""/>
      <w:lvlJc w:val="left"/>
      <w:pPr>
        <w:ind w:left="578" w:hanging="360"/>
      </w:pPr>
      <w:rPr>
        <w:rFonts w:ascii="Symbol" w:hAnsi="Symbol" w:hint="default"/>
      </w:rPr>
    </w:lvl>
    <w:lvl w:ilvl="1" w:tplc="0C0A0003">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2FB31D0D"/>
    <w:multiLevelType w:val="hybridMultilevel"/>
    <w:tmpl w:val="231E95F6"/>
    <w:lvl w:ilvl="0" w:tplc="E710EC8A">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6" w15:restartNumberingAfterBreak="0">
    <w:nsid w:val="34AA2889"/>
    <w:multiLevelType w:val="hybridMultilevel"/>
    <w:tmpl w:val="8AF438FA"/>
    <w:lvl w:ilvl="0" w:tplc="B352C0F2">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7" w15:restartNumberingAfterBreak="0">
    <w:nsid w:val="39E8370C"/>
    <w:multiLevelType w:val="hybridMultilevel"/>
    <w:tmpl w:val="F5542060"/>
    <w:lvl w:ilvl="0" w:tplc="1618DB0C">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8" w15:restartNumberingAfterBreak="0">
    <w:nsid w:val="3B224D86"/>
    <w:multiLevelType w:val="hybridMultilevel"/>
    <w:tmpl w:val="6EE85512"/>
    <w:lvl w:ilvl="0" w:tplc="CABE4FD8">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1CC5E56"/>
    <w:multiLevelType w:val="hybridMultilevel"/>
    <w:tmpl w:val="BE1237D6"/>
    <w:lvl w:ilvl="0" w:tplc="69D481B6">
      <w:start w:val="1"/>
      <w:numFmt w:val="lowerLetter"/>
      <w:pStyle w:val="Letrasinterior"/>
      <w:lvlText w:val="(%1)"/>
      <w:lvlJc w:val="left"/>
      <w:pPr>
        <w:ind w:left="720" w:hanging="360"/>
      </w:pPr>
      <w:rPr>
        <w:rFonts w:ascii="Arial" w:hAnsi="Arial" w:hint="default"/>
        <w:b w:val="0"/>
        <w:i w:val="0"/>
        <w:color w:val="auto"/>
        <w:w w:val="102"/>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ED621B"/>
    <w:multiLevelType w:val="hybridMultilevel"/>
    <w:tmpl w:val="83FE182C"/>
    <w:lvl w:ilvl="0" w:tplc="48680EA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4DA32155"/>
    <w:multiLevelType w:val="hybridMultilevel"/>
    <w:tmpl w:val="82C407AA"/>
    <w:lvl w:ilvl="0" w:tplc="D5D6275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F4265E6"/>
    <w:multiLevelType w:val="hybridMultilevel"/>
    <w:tmpl w:val="60D414B2"/>
    <w:lvl w:ilvl="0" w:tplc="525AB056">
      <w:start w:val="1"/>
      <w:numFmt w:val="decimal"/>
      <w:pStyle w:val="NUMERADO"/>
      <w:lvlText w:val="%1"/>
      <w:lvlJc w:val="left"/>
      <w:pPr>
        <w:ind w:left="720" w:hanging="360"/>
      </w:pPr>
      <w:rPr>
        <w:rFonts w:ascii="Arial" w:hAnsi="Arial" w:hint="default"/>
        <w:b w:val="0"/>
        <w:i w:val="0"/>
        <w:color w:val="7F7F7F" w:themeColor="text1" w:themeTint="8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4C1E32"/>
    <w:multiLevelType w:val="hybridMultilevel"/>
    <w:tmpl w:val="0A5E057A"/>
    <w:lvl w:ilvl="0" w:tplc="54CEB45E">
      <w:start w:val="1"/>
      <w:numFmt w:val="decimal"/>
      <w:pStyle w:val="Ttulo2"/>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4" w15:restartNumberingAfterBreak="0">
    <w:nsid w:val="572B4EB0"/>
    <w:multiLevelType w:val="hybridMultilevel"/>
    <w:tmpl w:val="B72CA358"/>
    <w:lvl w:ilvl="0" w:tplc="014ACB50">
      <w:start w:val="1"/>
      <w:numFmt w:val="lowerLetter"/>
      <w:pStyle w:val="Ttulo5"/>
      <w:lvlText w:val="a.%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1BB03CE"/>
    <w:multiLevelType w:val="hybridMultilevel"/>
    <w:tmpl w:val="F2240EA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939774B"/>
    <w:multiLevelType w:val="hybridMultilevel"/>
    <w:tmpl w:val="87DA2418"/>
    <w:lvl w:ilvl="0" w:tplc="92D47DCE">
      <w:start w:val="1"/>
      <w:numFmt w:val="lowerRoman"/>
      <w:pStyle w:val="Romanillointerior"/>
      <w:lvlText w:val="(%1)"/>
      <w:lvlJc w:val="left"/>
      <w:pPr>
        <w:ind w:left="720" w:hanging="360"/>
      </w:pPr>
      <w:rPr>
        <w:rFonts w:ascii="Arial" w:hAnsi="Arial" w:hint="default"/>
        <w:b w:val="0"/>
        <w:i w:val="0"/>
        <w:color w:val="auto"/>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82704D"/>
    <w:multiLevelType w:val="hybridMultilevel"/>
    <w:tmpl w:val="94CA785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3"/>
  </w:num>
  <w:num w:numId="3">
    <w:abstractNumId w:val="6"/>
  </w:num>
  <w:num w:numId="4">
    <w:abstractNumId w:val="1"/>
  </w:num>
  <w:num w:numId="5">
    <w:abstractNumId w:val="24"/>
  </w:num>
  <w:num w:numId="6">
    <w:abstractNumId w:val="22"/>
  </w:num>
  <w:num w:numId="7">
    <w:abstractNumId w:val="0"/>
  </w:num>
  <w:num w:numId="8">
    <w:abstractNumId w:val="26"/>
  </w:num>
  <w:num w:numId="9">
    <w:abstractNumId w:val="13"/>
  </w:num>
  <w:num w:numId="10">
    <w:abstractNumId w:val="19"/>
  </w:num>
  <w:num w:numId="11">
    <w:abstractNumId w:val="5"/>
  </w:num>
  <w:num w:numId="12">
    <w:abstractNumId w:val="27"/>
  </w:num>
  <w:num w:numId="13">
    <w:abstractNumId w:val="21"/>
  </w:num>
  <w:num w:numId="14">
    <w:abstractNumId w:val="2"/>
  </w:num>
  <w:num w:numId="15">
    <w:abstractNumId w:val="25"/>
  </w:num>
  <w:num w:numId="16">
    <w:abstractNumId w:val="8"/>
  </w:num>
  <w:num w:numId="17">
    <w:abstractNumId w:val="3"/>
  </w:num>
  <w:num w:numId="18">
    <w:abstractNumId w:val="16"/>
  </w:num>
  <w:num w:numId="19">
    <w:abstractNumId w:val="17"/>
  </w:num>
  <w:num w:numId="20">
    <w:abstractNumId w:val="10"/>
  </w:num>
  <w:num w:numId="21">
    <w:abstractNumId w:val="14"/>
  </w:num>
  <w:num w:numId="22">
    <w:abstractNumId w:val="11"/>
  </w:num>
  <w:num w:numId="23">
    <w:abstractNumId w:val="9"/>
  </w:num>
  <w:num w:numId="24">
    <w:abstractNumId w:val="7"/>
  </w:num>
  <w:num w:numId="25">
    <w:abstractNumId w:val="20"/>
  </w:num>
  <w:num w:numId="26">
    <w:abstractNumId w:val="18"/>
  </w:num>
  <w:num w:numId="27">
    <w:abstractNumId w:val="1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02"/>
    <w:rsid w:val="00000063"/>
    <w:rsid w:val="00001AB7"/>
    <w:rsid w:val="000050C7"/>
    <w:rsid w:val="0000527F"/>
    <w:rsid w:val="00010558"/>
    <w:rsid w:val="00015EDD"/>
    <w:rsid w:val="0001602D"/>
    <w:rsid w:val="00016A2C"/>
    <w:rsid w:val="0002074D"/>
    <w:rsid w:val="0002196B"/>
    <w:rsid w:val="00022A00"/>
    <w:rsid w:val="00024481"/>
    <w:rsid w:val="000253D0"/>
    <w:rsid w:val="00025867"/>
    <w:rsid w:val="000264D0"/>
    <w:rsid w:val="00027761"/>
    <w:rsid w:val="00030137"/>
    <w:rsid w:val="0003135F"/>
    <w:rsid w:val="00032A76"/>
    <w:rsid w:val="00033AE5"/>
    <w:rsid w:val="00034820"/>
    <w:rsid w:val="000417D2"/>
    <w:rsid w:val="00043594"/>
    <w:rsid w:val="000435BA"/>
    <w:rsid w:val="00043853"/>
    <w:rsid w:val="00047A3B"/>
    <w:rsid w:val="0005087B"/>
    <w:rsid w:val="00050A53"/>
    <w:rsid w:val="00055AA7"/>
    <w:rsid w:val="00055F5E"/>
    <w:rsid w:val="000608B1"/>
    <w:rsid w:val="00062523"/>
    <w:rsid w:val="00063C31"/>
    <w:rsid w:val="00065EE5"/>
    <w:rsid w:val="00066946"/>
    <w:rsid w:val="00067F23"/>
    <w:rsid w:val="000713C9"/>
    <w:rsid w:val="000721FE"/>
    <w:rsid w:val="00072DE8"/>
    <w:rsid w:val="00074285"/>
    <w:rsid w:val="0008114B"/>
    <w:rsid w:val="00081FE6"/>
    <w:rsid w:val="00082C18"/>
    <w:rsid w:val="00083A67"/>
    <w:rsid w:val="00085885"/>
    <w:rsid w:val="000860F9"/>
    <w:rsid w:val="0009187A"/>
    <w:rsid w:val="00091BBB"/>
    <w:rsid w:val="000953EC"/>
    <w:rsid w:val="00096118"/>
    <w:rsid w:val="00096BBF"/>
    <w:rsid w:val="000A1415"/>
    <w:rsid w:val="000A35F6"/>
    <w:rsid w:val="000B0E59"/>
    <w:rsid w:val="000B1BCC"/>
    <w:rsid w:val="000B3BEA"/>
    <w:rsid w:val="000B464B"/>
    <w:rsid w:val="000C01F2"/>
    <w:rsid w:val="000C03B0"/>
    <w:rsid w:val="000C2353"/>
    <w:rsid w:val="000C40D3"/>
    <w:rsid w:val="000C6E6B"/>
    <w:rsid w:val="000C73A5"/>
    <w:rsid w:val="000D0E50"/>
    <w:rsid w:val="000D15F1"/>
    <w:rsid w:val="000D2696"/>
    <w:rsid w:val="000D40AF"/>
    <w:rsid w:val="000D4E23"/>
    <w:rsid w:val="000D76BA"/>
    <w:rsid w:val="000E06EF"/>
    <w:rsid w:val="000E074C"/>
    <w:rsid w:val="000E2A41"/>
    <w:rsid w:val="000E4435"/>
    <w:rsid w:val="000E4CD6"/>
    <w:rsid w:val="000E745C"/>
    <w:rsid w:val="000E7918"/>
    <w:rsid w:val="000F027C"/>
    <w:rsid w:val="000F1021"/>
    <w:rsid w:val="000F1375"/>
    <w:rsid w:val="000F1553"/>
    <w:rsid w:val="000F1EC7"/>
    <w:rsid w:val="000F24F3"/>
    <w:rsid w:val="000F303E"/>
    <w:rsid w:val="000F31FA"/>
    <w:rsid w:val="000F4964"/>
    <w:rsid w:val="000F6A7A"/>
    <w:rsid w:val="000F6FAC"/>
    <w:rsid w:val="000F7329"/>
    <w:rsid w:val="000F76BA"/>
    <w:rsid w:val="001008A0"/>
    <w:rsid w:val="0010126C"/>
    <w:rsid w:val="001013CD"/>
    <w:rsid w:val="00102C65"/>
    <w:rsid w:val="00103E3C"/>
    <w:rsid w:val="00103FD8"/>
    <w:rsid w:val="00104C65"/>
    <w:rsid w:val="00105B53"/>
    <w:rsid w:val="00105B5E"/>
    <w:rsid w:val="00112BA7"/>
    <w:rsid w:val="00113091"/>
    <w:rsid w:val="00113777"/>
    <w:rsid w:val="0011482E"/>
    <w:rsid w:val="00114953"/>
    <w:rsid w:val="00115BAF"/>
    <w:rsid w:val="0011687D"/>
    <w:rsid w:val="00121358"/>
    <w:rsid w:val="0012156A"/>
    <w:rsid w:val="001237EB"/>
    <w:rsid w:val="0012401D"/>
    <w:rsid w:val="00124421"/>
    <w:rsid w:val="00133013"/>
    <w:rsid w:val="00134739"/>
    <w:rsid w:val="00135BC0"/>
    <w:rsid w:val="001365C4"/>
    <w:rsid w:val="00136941"/>
    <w:rsid w:val="00137531"/>
    <w:rsid w:val="00137885"/>
    <w:rsid w:val="00140D2E"/>
    <w:rsid w:val="00141485"/>
    <w:rsid w:val="0014162D"/>
    <w:rsid w:val="0014360A"/>
    <w:rsid w:val="0014498A"/>
    <w:rsid w:val="00153543"/>
    <w:rsid w:val="00153F74"/>
    <w:rsid w:val="00154293"/>
    <w:rsid w:val="00154FD4"/>
    <w:rsid w:val="00155303"/>
    <w:rsid w:val="00156603"/>
    <w:rsid w:val="00156EA6"/>
    <w:rsid w:val="001575C3"/>
    <w:rsid w:val="0016025F"/>
    <w:rsid w:val="001602AA"/>
    <w:rsid w:val="001610F3"/>
    <w:rsid w:val="00161BA3"/>
    <w:rsid w:val="00162FB8"/>
    <w:rsid w:val="0016581F"/>
    <w:rsid w:val="00170DB7"/>
    <w:rsid w:val="00172720"/>
    <w:rsid w:val="00174853"/>
    <w:rsid w:val="00176F1B"/>
    <w:rsid w:val="00180262"/>
    <w:rsid w:val="00181A88"/>
    <w:rsid w:val="00183A6D"/>
    <w:rsid w:val="00184126"/>
    <w:rsid w:val="001875ED"/>
    <w:rsid w:val="00192405"/>
    <w:rsid w:val="00192955"/>
    <w:rsid w:val="00196712"/>
    <w:rsid w:val="001971EE"/>
    <w:rsid w:val="001A00E4"/>
    <w:rsid w:val="001A0898"/>
    <w:rsid w:val="001A166D"/>
    <w:rsid w:val="001A28CF"/>
    <w:rsid w:val="001A55B1"/>
    <w:rsid w:val="001A5B08"/>
    <w:rsid w:val="001A76BA"/>
    <w:rsid w:val="001B01DC"/>
    <w:rsid w:val="001B3EF0"/>
    <w:rsid w:val="001B57C8"/>
    <w:rsid w:val="001B640E"/>
    <w:rsid w:val="001B6889"/>
    <w:rsid w:val="001B741C"/>
    <w:rsid w:val="001C1238"/>
    <w:rsid w:val="001C3829"/>
    <w:rsid w:val="001C62A8"/>
    <w:rsid w:val="001D0488"/>
    <w:rsid w:val="001D0B99"/>
    <w:rsid w:val="001D379B"/>
    <w:rsid w:val="001D3E12"/>
    <w:rsid w:val="001D5227"/>
    <w:rsid w:val="001D54A5"/>
    <w:rsid w:val="001D63C7"/>
    <w:rsid w:val="001E0C7C"/>
    <w:rsid w:val="001E1071"/>
    <w:rsid w:val="001E27DC"/>
    <w:rsid w:val="001E2881"/>
    <w:rsid w:val="001E67CC"/>
    <w:rsid w:val="001E7599"/>
    <w:rsid w:val="001F1AF2"/>
    <w:rsid w:val="001F2DC9"/>
    <w:rsid w:val="001F2E27"/>
    <w:rsid w:val="001F3A7F"/>
    <w:rsid w:val="001F4617"/>
    <w:rsid w:val="001F6D8F"/>
    <w:rsid w:val="0020182D"/>
    <w:rsid w:val="002019C5"/>
    <w:rsid w:val="00204653"/>
    <w:rsid w:val="00204FF5"/>
    <w:rsid w:val="00205211"/>
    <w:rsid w:val="00210479"/>
    <w:rsid w:val="00213F24"/>
    <w:rsid w:val="00214212"/>
    <w:rsid w:val="00214664"/>
    <w:rsid w:val="00217C5E"/>
    <w:rsid w:val="00221D8E"/>
    <w:rsid w:val="0022243B"/>
    <w:rsid w:val="002231D9"/>
    <w:rsid w:val="0022322B"/>
    <w:rsid w:val="00223DF5"/>
    <w:rsid w:val="00226F12"/>
    <w:rsid w:val="00230F5F"/>
    <w:rsid w:val="00230FB7"/>
    <w:rsid w:val="0023129A"/>
    <w:rsid w:val="00231B55"/>
    <w:rsid w:val="00231D90"/>
    <w:rsid w:val="0023459C"/>
    <w:rsid w:val="00236146"/>
    <w:rsid w:val="002407DF"/>
    <w:rsid w:val="00240F76"/>
    <w:rsid w:val="00241F57"/>
    <w:rsid w:val="00242485"/>
    <w:rsid w:val="00242F4E"/>
    <w:rsid w:val="00250429"/>
    <w:rsid w:val="002532DA"/>
    <w:rsid w:val="00253FEC"/>
    <w:rsid w:val="00254F40"/>
    <w:rsid w:val="00255127"/>
    <w:rsid w:val="00257056"/>
    <w:rsid w:val="00261FA5"/>
    <w:rsid w:val="00262A35"/>
    <w:rsid w:val="00264633"/>
    <w:rsid w:val="00264844"/>
    <w:rsid w:val="0026586D"/>
    <w:rsid w:val="00265C20"/>
    <w:rsid w:val="0027107C"/>
    <w:rsid w:val="00274F93"/>
    <w:rsid w:val="00275F0F"/>
    <w:rsid w:val="00280829"/>
    <w:rsid w:val="0028115F"/>
    <w:rsid w:val="0028264D"/>
    <w:rsid w:val="00284390"/>
    <w:rsid w:val="00284430"/>
    <w:rsid w:val="00284C55"/>
    <w:rsid w:val="00284C61"/>
    <w:rsid w:val="0028514C"/>
    <w:rsid w:val="00285F39"/>
    <w:rsid w:val="0029436B"/>
    <w:rsid w:val="00295175"/>
    <w:rsid w:val="0029754E"/>
    <w:rsid w:val="002A2092"/>
    <w:rsid w:val="002A299A"/>
    <w:rsid w:val="002A2FF9"/>
    <w:rsid w:val="002A437D"/>
    <w:rsid w:val="002A446B"/>
    <w:rsid w:val="002A5089"/>
    <w:rsid w:val="002A5AA4"/>
    <w:rsid w:val="002A6012"/>
    <w:rsid w:val="002A7E0B"/>
    <w:rsid w:val="002B07CE"/>
    <w:rsid w:val="002B1290"/>
    <w:rsid w:val="002B3519"/>
    <w:rsid w:val="002B40D1"/>
    <w:rsid w:val="002B5955"/>
    <w:rsid w:val="002B5A43"/>
    <w:rsid w:val="002B5FBD"/>
    <w:rsid w:val="002B6B4E"/>
    <w:rsid w:val="002B6FAB"/>
    <w:rsid w:val="002B76D0"/>
    <w:rsid w:val="002C0BEF"/>
    <w:rsid w:val="002C14F6"/>
    <w:rsid w:val="002C1FA6"/>
    <w:rsid w:val="002C3401"/>
    <w:rsid w:val="002C3B63"/>
    <w:rsid w:val="002C4FB7"/>
    <w:rsid w:val="002C50FA"/>
    <w:rsid w:val="002D0B98"/>
    <w:rsid w:val="002D31AA"/>
    <w:rsid w:val="002D4D41"/>
    <w:rsid w:val="002D79C7"/>
    <w:rsid w:val="002E1965"/>
    <w:rsid w:val="002E237D"/>
    <w:rsid w:val="002E6D77"/>
    <w:rsid w:val="002E751C"/>
    <w:rsid w:val="002E757B"/>
    <w:rsid w:val="002F24B2"/>
    <w:rsid w:val="002F448E"/>
    <w:rsid w:val="002F554A"/>
    <w:rsid w:val="002F6A2E"/>
    <w:rsid w:val="00302C5B"/>
    <w:rsid w:val="00305FE0"/>
    <w:rsid w:val="00307367"/>
    <w:rsid w:val="0030742A"/>
    <w:rsid w:val="003102BC"/>
    <w:rsid w:val="00310928"/>
    <w:rsid w:val="00311008"/>
    <w:rsid w:val="003127DC"/>
    <w:rsid w:val="00314C67"/>
    <w:rsid w:val="003155B2"/>
    <w:rsid w:val="003163E9"/>
    <w:rsid w:val="00321E52"/>
    <w:rsid w:val="00322E16"/>
    <w:rsid w:val="003260F5"/>
    <w:rsid w:val="003263FA"/>
    <w:rsid w:val="003276B2"/>
    <w:rsid w:val="003276F1"/>
    <w:rsid w:val="00327C0F"/>
    <w:rsid w:val="00327E79"/>
    <w:rsid w:val="00330B2E"/>
    <w:rsid w:val="00331941"/>
    <w:rsid w:val="00332373"/>
    <w:rsid w:val="00332660"/>
    <w:rsid w:val="003327EC"/>
    <w:rsid w:val="00332D4A"/>
    <w:rsid w:val="00333B56"/>
    <w:rsid w:val="0033404F"/>
    <w:rsid w:val="00335DBC"/>
    <w:rsid w:val="00335E80"/>
    <w:rsid w:val="00337062"/>
    <w:rsid w:val="00340C44"/>
    <w:rsid w:val="003427E7"/>
    <w:rsid w:val="003429F1"/>
    <w:rsid w:val="00343066"/>
    <w:rsid w:val="00343AB6"/>
    <w:rsid w:val="00345000"/>
    <w:rsid w:val="00345715"/>
    <w:rsid w:val="00351360"/>
    <w:rsid w:val="00352D2F"/>
    <w:rsid w:val="003536CD"/>
    <w:rsid w:val="00361ED7"/>
    <w:rsid w:val="00363A7D"/>
    <w:rsid w:val="00363F66"/>
    <w:rsid w:val="00365AB6"/>
    <w:rsid w:val="00366114"/>
    <w:rsid w:val="00366350"/>
    <w:rsid w:val="003663AE"/>
    <w:rsid w:val="00366835"/>
    <w:rsid w:val="0037050C"/>
    <w:rsid w:val="00370660"/>
    <w:rsid w:val="0037387B"/>
    <w:rsid w:val="00375EDF"/>
    <w:rsid w:val="00376FAD"/>
    <w:rsid w:val="00377266"/>
    <w:rsid w:val="00377489"/>
    <w:rsid w:val="00377603"/>
    <w:rsid w:val="003833FE"/>
    <w:rsid w:val="003837F8"/>
    <w:rsid w:val="003843B0"/>
    <w:rsid w:val="00385EBE"/>
    <w:rsid w:val="0038742E"/>
    <w:rsid w:val="0039022F"/>
    <w:rsid w:val="00390CA8"/>
    <w:rsid w:val="00392797"/>
    <w:rsid w:val="003930A4"/>
    <w:rsid w:val="003934B3"/>
    <w:rsid w:val="00395333"/>
    <w:rsid w:val="0039701E"/>
    <w:rsid w:val="00397568"/>
    <w:rsid w:val="003A31B8"/>
    <w:rsid w:val="003A3C1C"/>
    <w:rsid w:val="003A60C9"/>
    <w:rsid w:val="003A708E"/>
    <w:rsid w:val="003B29CE"/>
    <w:rsid w:val="003B38B9"/>
    <w:rsid w:val="003B3A2B"/>
    <w:rsid w:val="003B3F88"/>
    <w:rsid w:val="003B4654"/>
    <w:rsid w:val="003B4719"/>
    <w:rsid w:val="003B6560"/>
    <w:rsid w:val="003B6821"/>
    <w:rsid w:val="003B72C8"/>
    <w:rsid w:val="003B7662"/>
    <w:rsid w:val="003B7914"/>
    <w:rsid w:val="003C0BEC"/>
    <w:rsid w:val="003C37AD"/>
    <w:rsid w:val="003C54CB"/>
    <w:rsid w:val="003C6525"/>
    <w:rsid w:val="003C7B18"/>
    <w:rsid w:val="003D11D7"/>
    <w:rsid w:val="003D125F"/>
    <w:rsid w:val="003D2294"/>
    <w:rsid w:val="003D2CD7"/>
    <w:rsid w:val="003D3212"/>
    <w:rsid w:val="003D475E"/>
    <w:rsid w:val="003D5D61"/>
    <w:rsid w:val="003E031C"/>
    <w:rsid w:val="003E0D86"/>
    <w:rsid w:val="003E10FA"/>
    <w:rsid w:val="003E1342"/>
    <w:rsid w:val="003E1A9E"/>
    <w:rsid w:val="003E23AA"/>
    <w:rsid w:val="003E5C7C"/>
    <w:rsid w:val="003E72F2"/>
    <w:rsid w:val="003E796E"/>
    <w:rsid w:val="003F14F2"/>
    <w:rsid w:val="003F1C02"/>
    <w:rsid w:val="003F226B"/>
    <w:rsid w:val="003F4FBB"/>
    <w:rsid w:val="003F50E9"/>
    <w:rsid w:val="003F5FE3"/>
    <w:rsid w:val="003F6ACC"/>
    <w:rsid w:val="003F6C81"/>
    <w:rsid w:val="003F71AC"/>
    <w:rsid w:val="00402C81"/>
    <w:rsid w:val="00403439"/>
    <w:rsid w:val="004035DE"/>
    <w:rsid w:val="00403B3C"/>
    <w:rsid w:val="00405E03"/>
    <w:rsid w:val="00407584"/>
    <w:rsid w:val="0041044A"/>
    <w:rsid w:val="004114C6"/>
    <w:rsid w:val="004117A6"/>
    <w:rsid w:val="00413885"/>
    <w:rsid w:val="00415646"/>
    <w:rsid w:val="00415A8A"/>
    <w:rsid w:val="00416685"/>
    <w:rsid w:val="00417E12"/>
    <w:rsid w:val="00420B92"/>
    <w:rsid w:val="004234BC"/>
    <w:rsid w:val="00424149"/>
    <w:rsid w:val="0042470B"/>
    <w:rsid w:val="0042494C"/>
    <w:rsid w:val="004257E2"/>
    <w:rsid w:val="00426A9D"/>
    <w:rsid w:val="00432BC1"/>
    <w:rsid w:val="00432E70"/>
    <w:rsid w:val="00434DC7"/>
    <w:rsid w:val="00435B9F"/>
    <w:rsid w:val="00436568"/>
    <w:rsid w:val="0043771B"/>
    <w:rsid w:val="00440452"/>
    <w:rsid w:val="004407C7"/>
    <w:rsid w:val="004409CC"/>
    <w:rsid w:val="00444ACD"/>
    <w:rsid w:val="0044577A"/>
    <w:rsid w:val="004478F9"/>
    <w:rsid w:val="004517E0"/>
    <w:rsid w:val="004519BF"/>
    <w:rsid w:val="004520C5"/>
    <w:rsid w:val="00453218"/>
    <w:rsid w:val="00453487"/>
    <w:rsid w:val="0046012B"/>
    <w:rsid w:val="0046017C"/>
    <w:rsid w:val="0046198B"/>
    <w:rsid w:val="004637C1"/>
    <w:rsid w:val="00465676"/>
    <w:rsid w:val="00466D02"/>
    <w:rsid w:val="00471D2F"/>
    <w:rsid w:val="00471E00"/>
    <w:rsid w:val="00472D4A"/>
    <w:rsid w:val="00474A39"/>
    <w:rsid w:val="004753F1"/>
    <w:rsid w:val="004766C7"/>
    <w:rsid w:val="004819B7"/>
    <w:rsid w:val="004846C5"/>
    <w:rsid w:val="00492444"/>
    <w:rsid w:val="00495B71"/>
    <w:rsid w:val="00496CE2"/>
    <w:rsid w:val="00496EEA"/>
    <w:rsid w:val="00497DD3"/>
    <w:rsid w:val="004A0A54"/>
    <w:rsid w:val="004A17A6"/>
    <w:rsid w:val="004A49F9"/>
    <w:rsid w:val="004A601E"/>
    <w:rsid w:val="004A6134"/>
    <w:rsid w:val="004A7E07"/>
    <w:rsid w:val="004B0681"/>
    <w:rsid w:val="004B0A96"/>
    <w:rsid w:val="004B0C79"/>
    <w:rsid w:val="004B1161"/>
    <w:rsid w:val="004B1F55"/>
    <w:rsid w:val="004B3D08"/>
    <w:rsid w:val="004B3F61"/>
    <w:rsid w:val="004B42EA"/>
    <w:rsid w:val="004B4604"/>
    <w:rsid w:val="004B4BD4"/>
    <w:rsid w:val="004B63B5"/>
    <w:rsid w:val="004B6517"/>
    <w:rsid w:val="004C04EF"/>
    <w:rsid w:val="004C598E"/>
    <w:rsid w:val="004C6CF8"/>
    <w:rsid w:val="004C6F8E"/>
    <w:rsid w:val="004D085F"/>
    <w:rsid w:val="004D101C"/>
    <w:rsid w:val="004D2B93"/>
    <w:rsid w:val="004D2E2B"/>
    <w:rsid w:val="004D3AC2"/>
    <w:rsid w:val="004D6CEA"/>
    <w:rsid w:val="004D78B9"/>
    <w:rsid w:val="004E1C4D"/>
    <w:rsid w:val="004E27F2"/>
    <w:rsid w:val="004E32B6"/>
    <w:rsid w:val="004E32D7"/>
    <w:rsid w:val="004E47C5"/>
    <w:rsid w:val="004E5352"/>
    <w:rsid w:val="004E6FDF"/>
    <w:rsid w:val="004E7329"/>
    <w:rsid w:val="004F0B63"/>
    <w:rsid w:val="004F13F4"/>
    <w:rsid w:val="005001BA"/>
    <w:rsid w:val="00501D6A"/>
    <w:rsid w:val="0050298B"/>
    <w:rsid w:val="005030A1"/>
    <w:rsid w:val="00504060"/>
    <w:rsid w:val="00504A8B"/>
    <w:rsid w:val="00504B56"/>
    <w:rsid w:val="00504FD3"/>
    <w:rsid w:val="00506297"/>
    <w:rsid w:val="00506C76"/>
    <w:rsid w:val="005134F5"/>
    <w:rsid w:val="00516E46"/>
    <w:rsid w:val="005208E4"/>
    <w:rsid w:val="005219C2"/>
    <w:rsid w:val="00525F5C"/>
    <w:rsid w:val="00533BCB"/>
    <w:rsid w:val="0053773B"/>
    <w:rsid w:val="005404CE"/>
    <w:rsid w:val="0054060A"/>
    <w:rsid w:val="005408F4"/>
    <w:rsid w:val="00540B6C"/>
    <w:rsid w:val="00542376"/>
    <w:rsid w:val="00542870"/>
    <w:rsid w:val="005428B6"/>
    <w:rsid w:val="00543304"/>
    <w:rsid w:val="0054389B"/>
    <w:rsid w:val="005479FE"/>
    <w:rsid w:val="00547BF1"/>
    <w:rsid w:val="00551CFB"/>
    <w:rsid w:val="00552832"/>
    <w:rsid w:val="005549F0"/>
    <w:rsid w:val="00555C0E"/>
    <w:rsid w:val="00555DCF"/>
    <w:rsid w:val="0055674A"/>
    <w:rsid w:val="00561209"/>
    <w:rsid w:val="0056339B"/>
    <w:rsid w:val="00567EF9"/>
    <w:rsid w:val="0057063B"/>
    <w:rsid w:val="0057089E"/>
    <w:rsid w:val="0057100B"/>
    <w:rsid w:val="0057455F"/>
    <w:rsid w:val="00580BA8"/>
    <w:rsid w:val="00582114"/>
    <w:rsid w:val="00587A3F"/>
    <w:rsid w:val="00592751"/>
    <w:rsid w:val="00592C0A"/>
    <w:rsid w:val="0059509C"/>
    <w:rsid w:val="005967A5"/>
    <w:rsid w:val="005A2BB2"/>
    <w:rsid w:val="005A35AF"/>
    <w:rsid w:val="005A38FD"/>
    <w:rsid w:val="005A41CF"/>
    <w:rsid w:val="005A5531"/>
    <w:rsid w:val="005A7F75"/>
    <w:rsid w:val="005B0344"/>
    <w:rsid w:val="005B072C"/>
    <w:rsid w:val="005B2076"/>
    <w:rsid w:val="005B5492"/>
    <w:rsid w:val="005C0829"/>
    <w:rsid w:val="005C1CF6"/>
    <w:rsid w:val="005C5A27"/>
    <w:rsid w:val="005C62D9"/>
    <w:rsid w:val="005C62DD"/>
    <w:rsid w:val="005C78F2"/>
    <w:rsid w:val="005D09D4"/>
    <w:rsid w:val="005D1F7B"/>
    <w:rsid w:val="005D258B"/>
    <w:rsid w:val="005D3873"/>
    <w:rsid w:val="005D3D30"/>
    <w:rsid w:val="005D5461"/>
    <w:rsid w:val="005D6CFE"/>
    <w:rsid w:val="005D7D88"/>
    <w:rsid w:val="005E058E"/>
    <w:rsid w:val="005E1C75"/>
    <w:rsid w:val="005E2FF0"/>
    <w:rsid w:val="005E3415"/>
    <w:rsid w:val="005E4292"/>
    <w:rsid w:val="005E5FC2"/>
    <w:rsid w:val="005F03E6"/>
    <w:rsid w:val="005F1589"/>
    <w:rsid w:val="005F21EC"/>
    <w:rsid w:val="005F22B5"/>
    <w:rsid w:val="005F3800"/>
    <w:rsid w:val="005F600B"/>
    <w:rsid w:val="005F675E"/>
    <w:rsid w:val="005F7935"/>
    <w:rsid w:val="0060001D"/>
    <w:rsid w:val="00600BD9"/>
    <w:rsid w:val="00600FC7"/>
    <w:rsid w:val="006018BE"/>
    <w:rsid w:val="0060371E"/>
    <w:rsid w:val="00605659"/>
    <w:rsid w:val="006071DE"/>
    <w:rsid w:val="006107A8"/>
    <w:rsid w:val="00610C9F"/>
    <w:rsid w:val="00610F50"/>
    <w:rsid w:val="006116BA"/>
    <w:rsid w:val="006128AD"/>
    <w:rsid w:val="00613B31"/>
    <w:rsid w:val="00613E2B"/>
    <w:rsid w:val="006152B0"/>
    <w:rsid w:val="00616565"/>
    <w:rsid w:val="00620937"/>
    <w:rsid w:val="006211F1"/>
    <w:rsid w:val="006224BD"/>
    <w:rsid w:val="006225CC"/>
    <w:rsid w:val="00622B14"/>
    <w:rsid w:val="006240A2"/>
    <w:rsid w:val="00630AB4"/>
    <w:rsid w:val="00632F77"/>
    <w:rsid w:val="00634275"/>
    <w:rsid w:val="00634C2D"/>
    <w:rsid w:val="00635F91"/>
    <w:rsid w:val="0063726B"/>
    <w:rsid w:val="00637478"/>
    <w:rsid w:val="00642BFF"/>
    <w:rsid w:val="00643AE0"/>
    <w:rsid w:val="006451D2"/>
    <w:rsid w:val="006452FD"/>
    <w:rsid w:val="006502C7"/>
    <w:rsid w:val="00651308"/>
    <w:rsid w:val="0065168F"/>
    <w:rsid w:val="00654502"/>
    <w:rsid w:val="00654E09"/>
    <w:rsid w:val="006615CB"/>
    <w:rsid w:val="006633EF"/>
    <w:rsid w:val="00665381"/>
    <w:rsid w:val="006752C2"/>
    <w:rsid w:val="00675D0D"/>
    <w:rsid w:val="0067650F"/>
    <w:rsid w:val="00681642"/>
    <w:rsid w:val="0068382F"/>
    <w:rsid w:val="00683C95"/>
    <w:rsid w:val="00683F70"/>
    <w:rsid w:val="006853DA"/>
    <w:rsid w:val="006872A9"/>
    <w:rsid w:val="00691453"/>
    <w:rsid w:val="006925AA"/>
    <w:rsid w:val="00692FEA"/>
    <w:rsid w:val="0069445E"/>
    <w:rsid w:val="00695144"/>
    <w:rsid w:val="00697ABA"/>
    <w:rsid w:val="006A06F1"/>
    <w:rsid w:val="006A07C8"/>
    <w:rsid w:val="006A0AB6"/>
    <w:rsid w:val="006A193F"/>
    <w:rsid w:val="006A1961"/>
    <w:rsid w:val="006A1D1D"/>
    <w:rsid w:val="006A75F5"/>
    <w:rsid w:val="006B4170"/>
    <w:rsid w:val="006B424C"/>
    <w:rsid w:val="006B642B"/>
    <w:rsid w:val="006B665E"/>
    <w:rsid w:val="006C103F"/>
    <w:rsid w:val="006C14F5"/>
    <w:rsid w:val="006C2A49"/>
    <w:rsid w:val="006C411C"/>
    <w:rsid w:val="006D0E6F"/>
    <w:rsid w:val="006D43AC"/>
    <w:rsid w:val="006D4526"/>
    <w:rsid w:val="006D64DB"/>
    <w:rsid w:val="006D76DD"/>
    <w:rsid w:val="006E1EFA"/>
    <w:rsid w:val="006E4ACE"/>
    <w:rsid w:val="006F0C69"/>
    <w:rsid w:val="006F0E85"/>
    <w:rsid w:val="006F60E6"/>
    <w:rsid w:val="00700F39"/>
    <w:rsid w:val="007026E7"/>
    <w:rsid w:val="00703AC6"/>
    <w:rsid w:val="007045C9"/>
    <w:rsid w:val="0070659A"/>
    <w:rsid w:val="00712B3E"/>
    <w:rsid w:val="00714EDD"/>
    <w:rsid w:val="007165F5"/>
    <w:rsid w:val="00716844"/>
    <w:rsid w:val="00721472"/>
    <w:rsid w:val="0072517B"/>
    <w:rsid w:val="007253F8"/>
    <w:rsid w:val="007266BC"/>
    <w:rsid w:val="00726849"/>
    <w:rsid w:val="0073099A"/>
    <w:rsid w:val="007309D8"/>
    <w:rsid w:val="00730C28"/>
    <w:rsid w:val="00732910"/>
    <w:rsid w:val="00734790"/>
    <w:rsid w:val="00734A5A"/>
    <w:rsid w:val="00735CFC"/>
    <w:rsid w:val="007365B1"/>
    <w:rsid w:val="00740A78"/>
    <w:rsid w:val="00741D82"/>
    <w:rsid w:val="00741DE4"/>
    <w:rsid w:val="007426E9"/>
    <w:rsid w:val="007444D1"/>
    <w:rsid w:val="00745E2C"/>
    <w:rsid w:val="0074669B"/>
    <w:rsid w:val="00747471"/>
    <w:rsid w:val="00747479"/>
    <w:rsid w:val="00747FAA"/>
    <w:rsid w:val="00750333"/>
    <w:rsid w:val="007507A9"/>
    <w:rsid w:val="00750B6F"/>
    <w:rsid w:val="0075381D"/>
    <w:rsid w:val="00754626"/>
    <w:rsid w:val="00760627"/>
    <w:rsid w:val="00760CB4"/>
    <w:rsid w:val="00762377"/>
    <w:rsid w:val="00763186"/>
    <w:rsid w:val="00765BDB"/>
    <w:rsid w:val="007660E1"/>
    <w:rsid w:val="00770488"/>
    <w:rsid w:val="00770969"/>
    <w:rsid w:val="00770A15"/>
    <w:rsid w:val="00770D52"/>
    <w:rsid w:val="00771D61"/>
    <w:rsid w:val="00772555"/>
    <w:rsid w:val="007728BF"/>
    <w:rsid w:val="00774171"/>
    <w:rsid w:val="0077639B"/>
    <w:rsid w:val="0077640B"/>
    <w:rsid w:val="00776C83"/>
    <w:rsid w:val="00782830"/>
    <w:rsid w:val="00782D96"/>
    <w:rsid w:val="007866D0"/>
    <w:rsid w:val="00786C6C"/>
    <w:rsid w:val="007879D0"/>
    <w:rsid w:val="00787BFB"/>
    <w:rsid w:val="00792E5C"/>
    <w:rsid w:val="00792F01"/>
    <w:rsid w:val="00793A38"/>
    <w:rsid w:val="00793EC8"/>
    <w:rsid w:val="00793F8E"/>
    <w:rsid w:val="00797876"/>
    <w:rsid w:val="007A18F9"/>
    <w:rsid w:val="007A4DDE"/>
    <w:rsid w:val="007A5F8B"/>
    <w:rsid w:val="007A723D"/>
    <w:rsid w:val="007A7A35"/>
    <w:rsid w:val="007A7E00"/>
    <w:rsid w:val="007B32F9"/>
    <w:rsid w:val="007B4B75"/>
    <w:rsid w:val="007B51F3"/>
    <w:rsid w:val="007B6EBB"/>
    <w:rsid w:val="007C0262"/>
    <w:rsid w:val="007C0BA3"/>
    <w:rsid w:val="007C13ED"/>
    <w:rsid w:val="007C6C5D"/>
    <w:rsid w:val="007D1CB9"/>
    <w:rsid w:val="007D286F"/>
    <w:rsid w:val="007D296E"/>
    <w:rsid w:val="007D2BA4"/>
    <w:rsid w:val="007D3326"/>
    <w:rsid w:val="007D3B9A"/>
    <w:rsid w:val="007E0D6E"/>
    <w:rsid w:val="007E1A25"/>
    <w:rsid w:val="007E24C0"/>
    <w:rsid w:val="007E49F1"/>
    <w:rsid w:val="007E6A12"/>
    <w:rsid w:val="007E700B"/>
    <w:rsid w:val="007F0A52"/>
    <w:rsid w:val="007F1D17"/>
    <w:rsid w:val="007F34AB"/>
    <w:rsid w:val="007F483A"/>
    <w:rsid w:val="007F5526"/>
    <w:rsid w:val="007F61FE"/>
    <w:rsid w:val="007F731A"/>
    <w:rsid w:val="007F772B"/>
    <w:rsid w:val="007F7FD6"/>
    <w:rsid w:val="00803954"/>
    <w:rsid w:val="00803AB9"/>
    <w:rsid w:val="008043C0"/>
    <w:rsid w:val="00805EE8"/>
    <w:rsid w:val="00806BE9"/>
    <w:rsid w:val="0080795C"/>
    <w:rsid w:val="00810A4B"/>
    <w:rsid w:val="00811296"/>
    <w:rsid w:val="0081565D"/>
    <w:rsid w:val="00820279"/>
    <w:rsid w:val="00820B00"/>
    <w:rsid w:val="00821A91"/>
    <w:rsid w:val="00822936"/>
    <w:rsid w:val="00824DE2"/>
    <w:rsid w:val="00827810"/>
    <w:rsid w:val="00831708"/>
    <w:rsid w:val="00831784"/>
    <w:rsid w:val="008318E3"/>
    <w:rsid w:val="00833276"/>
    <w:rsid w:val="0083379E"/>
    <w:rsid w:val="00835975"/>
    <w:rsid w:val="00837AB7"/>
    <w:rsid w:val="0084120E"/>
    <w:rsid w:val="0084369B"/>
    <w:rsid w:val="0084674B"/>
    <w:rsid w:val="00853129"/>
    <w:rsid w:val="00855559"/>
    <w:rsid w:val="00860AA8"/>
    <w:rsid w:val="00862D41"/>
    <w:rsid w:val="00863385"/>
    <w:rsid w:val="008643D0"/>
    <w:rsid w:val="0086464A"/>
    <w:rsid w:val="0086495A"/>
    <w:rsid w:val="008658D9"/>
    <w:rsid w:val="008718F9"/>
    <w:rsid w:val="008723FA"/>
    <w:rsid w:val="00872620"/>
    <w:rsid w:val="008739A0"/>
    <w:rsid w:val="00873D64"/>
    <w:rsid w:val="0087497B"/>
    <w:rsid w:val="00874C00"/>
    <w:rsid w:val="0088008F"/>
    <w:rsid w:val="008804BD"/>
    <w:rsid w:val="00882341"/>
    <w:rsid w:val="00883412"/>
    <w:rsid w:val="00884E39"/>
    <w:rsid w:val="00886B66"/>
    <w:rsid w:val="00886DBC"/>
    <w:rsid w:val="00890FBC"/>
    <w:rsid w:val="008929BC"/>
    <w:rsid w:val="00893EE1"/>
    <w:rsid w:val="008949DE"/>
    <w:rsid w:val="00894E8F"/>
    <w:rsid w:val="00894FFF"/>
    <w:rsid w:val="00895ACA"/>
    <w:rsid w:val="008A0A97"/>
    <w:rsid w:val="008A0A98"/>
    <w:rsid w:val="008A1167"/>
    <w:rsid w:val="008A1202"/>
    <w:rsid w:val="008A1C74"/>
    <w:rsid w:val="008A45BB"/>
    <w:rsid w:val="008A4948"/>
    <w:rsid w:val="008A5609"/>
    <w:rsid w:val="008A7026"/>
    <w:rsid w:val="008A7643"/>
    <w:rsid w:val="008A7B59"/>
    <w:rsid w:val="008B08AE"/>
    <w:rsid w:val="008B1385"/>
    <w:rsid w:val="008B6E95"/>
    <w:rsid w:val="008C0913"/>
    <w:rsid w:val="008C1C81"/>
    <w:rsid w:val="008C21DA"/>
    <w:rsid w:val="008C2274"/>
    <w:rsid w:val="008C371F"/>
    <w:rsid w:val="008C3888"/>
    <w:rsid w:val="008C46F4"/>
    <w:rsid w:val="008C4EE4"/>
    <w:rsid w:val="008C5289"/>
    <w:rsid w:val="008C7F47"/>
    <w:rsid w:val="008D0210"/>
    <w:rsid w:val="008D0335"/>
    <w:rsid w:val="008D2857"/>
    <w:rsid w:val="008D451C"/>
    <w:rsid w:val="008D5C40"/>
    <w:rsid w:val="008D7124"/>
    <w:rsid w:val="008E055F"/>
    <w:rsid w:val="008E09ED"/>
    <w:rsid w:val="008E1203"/>
    <w:rsid w:val="008E1B02"/>
    <w:rsid w:val="008E1B94"/>
    <w:rsid w:val="008E493D"/>
    <w:rsid w:val="008F135F"/>
    <w:rsid w:val="008F30C0"/>
    <w:rsid w:val="008F3C94"/>
    <w:rsid w:val="008F5B51"/>
    <w:rsid w:val="00900F69"/>
    <w:rsid w:val="009021D2"/>
    <w:rsid w:val="00903DC8"/>
    <w:rsid w:val="00910CC3"/>
    <w:rsid w:val="00911B8E"/>
    <w:rsid w:val="00911ED2"/>
    <w:rsid w:val="00912CED"/>
    <w:rsid w:val="00915CC4"/>
    <w:rsid w:val="00916A81"/>
    <w:rsid w:val="009171D8"/>
    <w:rsid w:val="00920F17"/>
    <w:rsid w:val="009221E2"/>
    <w:rsid w:val="00922983"/>
    <w:rsid w:val="009253ED"/>
    <w:rsid w:val="00930ABF"/>
    <w:rsid w:val="00931079"/>
    <w:rsid w:val="00941773"/>
    <w:rsid w:val="0094278E"/>
    <w:rsid w:val="00943CC3"/>
    <w:rsid w:val="009448E4"/>
    <w:rsid w:val="00950695"/>
    <w:rsid w:val="009517E8"/>
    <w:rsid w:val="0095180D"/>
    <w:rsid w:val="00952E26"/>
    <w:rsid w:val="009535BD"/>
    <w:rsid w:val="00957528"/>
    <w:rsid w:val="0096014E"/>
    <w:rsid w:val="00961106"/>
    <w:rsid w:val="00961633"/>
    <w:rsid w:val="00966917"/>
    <w:rsid w:val="00971136"/>
    <w:rsid w:val="00973FAC"/>
    <w:rsid w:val="00974F89"/>
    <w:rsid w:val="009757F5"/>
    <w:rsid w:val="009772F9"/>
    <w:rsid w:val="00980056"/>
    <w:rsid w:val="009826E4"/>
    <w:rsid w:val="00982C2E"/>
    <w:rsid w:val="00983C98"/>
    <w:rsid w:val="00983D76"/>
    <w:rsid w:val="00986153"/>
    <w:rsid w:val="00986C9D"/>
    <w:rsid w:val="00986FD3"/>
    <w:rsid w:val="00990205"/>
    <w:rsid w:val="00991867"/>
    <w:rsid w:val="00993C5B"/>
    <w:rsid w:val="0099483A"/>
    <w:rsid w:val="009948EB"/>
    <w:rsid w:val="009958A7"/>
    <w:rsid w:val="00995F4B"/>
    <w:rsid w:val="00996383"/>
    <w:rsid w:val="009A072D"/>
    <w:rsid w:val="009A104A"/>
    <w:rsid w:val="009A3F06"/>
    <w:rsid w:val="009A5EA5"/>
    <w:rsid w:val="009A71A4"/>
    <w:rsid w:val="009B0570"/>
    <w:rsid w:val="009B54DA"/>
    <w:rsid w:val="009B5D65"/>
    <w:rsid w:val="009C0771"/>
    <w:rsid w:val="009C0EF9"/>
    <w:rsid w:val="009C1172"/>
    <w:rsid w:val="009C3E37"/>
    <w:rsid w:val="009C44F9"/>
    <w:rsid w:val="009C4B3C"/>
    <w:rsid w:val="009C6C1B"/>
    <w:rsid w:val="009D6A86"/>
    <w:rsid w:val="009E007F"/>
    <w:rsid w:val="009E0684"/>
    <w:rsid w:val="009E306F"/>
    <w:rsid w:val="009E54DC"/>
    <w:rsid w:val="009E5E36"/>
    <w:rsid w:val="009E61D2"/>
    <w:rsid w:val="009E652F"/>
    <w:rsid w:val="009F0F33"/>
    <w:rsid w:val="009F361A"/>
    <w:rsid w:val="009F4252"/>
    <w:rsid w:val="009F49BC"/>
    <w:rsid w:val="009F4F7A"/>
    <w:rsid w:val="009F7F99"/>
    <w:rsid w:val="00A0179A"/>
    <w:rsid w:val="00A0220B"/>
    <w:rsid w:val="00A0287E"/>
    <w:rsid w:val="00A03A31"/>
    <w:rsid w:val="00A07607"/>
    <w:rsid w:val="00A1798C"/>
    <w:rsid w:val="00A20B81"/>
    <w:rsid w:val="00A21FAA"/>
    <w:rsid w:val="00A234A8"/>
    <w:rsid w:val="00A23772"/>
    <w:rsid w:val="00A25229"/>
    <w:rsid w:val="00A259C0"/>
    <w:rsid w:val="00A25B40"/>
    <w:rsid w:val="00A27C0D"/>
    <w:rsid w:val="00A37438"/>
    <w:rsid w:val="00A40182"/>
    <w:rsid w:val="00A40199"/>
    <w:rsid w:val="00A41754"/>
    <w:rsid w:val="00A420C1"/>
    <w:rsid w:val="00A43182"/>
    <w:rsid w:val="00A44E27"/>
    <w:rsid w:val="00A44EC3"/>
    <w:rsid w:val="00A467B9"/>
    <w:rsid w:val="00A46DF9"/>
    <w:rsid w:val="00A50B7F"/>
    <w:rsid w:val="00A51941"/>
    <w:rsid w:val="00A52C62"/>
    <w:rsid w:val="00A530EE"/>
    <w:rsid w:val="00A53633"/>
    <w:rsid w:val="00A54F6A"/>
    <w:rsid w:val="00A56F88"/>
    <w:rsid w:val="00A574B5"/>
    <w:rsid w:val="00A60F9E"/>
    <w:rsid w:val="00A61E72"/>
    <w:rsid w:val="00A6328A"/>
    <w:rsid w:val="00A65667"/>
    <w:rsid w:val="00A67369"/>
    <w:rsid w:val="00A70729"/>
    <w:rsid w:val="00A70D37"/>
    <w:rsid w:val="00A71C74"/>
    <w:rsid w:val="00A75A61"/>
    <w:rsid w:val="00A806C6"/>
    <w:rsid w:val="00A81F50"/>
    <w:rsid w:val="00A83022"/>
    <w:rsid w:val="00A84079"/>
    <w:rsid w:val="00A853C1"/>
    <w:rsid w:val="00A91646"/>
    <w:rsid w:val="00A91E50"/>
    <w:rsid w:val="00A9663A"/>
    <w:rsid w:val="00A96BF9"/>
    <w:rsid w:val="00AA023D"/>
    <w:rsid w:val="00AA227F"/>
    <w:rsid w:val="00AA6E5E"/>
    <w:rsid w:val="00AA7691"/>
    <w:rsid w:val="00AA7DD7"/>
    <w:rsid w:val="00AB09D9"/>
    <w:rsid w:val="00AB1808"/>
    <w:rsid w:val="00AB633F"/>
    <w:rsid w:val="00AB68CE"/>
    <w:rsid w:val="00AB71D4"/>
    <w:rsid w:val="00AC07B4"/>
    <w:rsid w:val="00AC1859"/>
    <w:rsid w:val="00AC5481"/>
    <w:rsid w:val="00AC6A8F"/>
    <w:rsid w:val="00AD10FC"/>
    <w:rsid w:val="00AD1D64"/>
    <w:rsid w:val="00AD3765"/>
    <w:rsid w:val="00AD39D4"/>
    <w:rsid w:val="00AD3B8A"/>
    <w:rsid w:val="00AD438D"/>
    <w:rsid w:val="00AD4708"/>
    <w:rsid w:val="00AD4BD2"/>
    <w:rsid w:val="00AD651A"/>
    <w:rsid w:val="00AE0619"/>
    <w:rsid w:val="00AE0F9A"/>
    <w:rsid w:val="00AE19EE"/>
    <w:rsid w:val="00AE6064"/>
    <w:rsid w:val="00AF01D2"/>
    <w:rsid w:val="00AF0596"/>
    <w:rsid w:val="00AF2AB0"/>
    <w:rsid w:val="00AF3E4D"/>
    <w:rsid w:val="00AF6357"/>
    <w:rsid w:val="00AF69E8"/>
    <w:rsid w:val="00AF7DC4"/>
    <w:rsid w:val="00B00128"/>
    <w:rsid w:val="00B01838"/>
    <w:rsid w:val="00B0659C"/>
    <w:rsid w:val="00B103D8"/>
    <w:rsid w:val="00B10C02"/>
    <w:rsid w:val="00B12277"/>
    <w:rsid w:val="00B133EE"/>
    <w:rsid w:val="00B152E2"/>
    <w:rsid w:val="00B1746D"/>
    <w:rsid w:val="00B213FB"/>
    <w:rsid w:val="00B21400"/>
    <w:rsid w:val="00B23C51"/>
    <w:rsid w:val="00B244B9"/>
    <w:rsid w:val="00B26D0C"/>
    <w:rsid w:val="00B26EDC"/>
    <w:rsid w:val="00B31B9D"/>
    <w:rsid w:val="00B3374B"/>
    <w:rsid w:val="00B33D98"/>
    <w:rsid w:val="00B34B72"/>
    <w:rsid w:val="00B35D28"/>
    <w:rsid w:val="00B36D85"/>
    <w:rsid w:val="00B4094C"/>
    <w:rsid w:val="00B416BA"/>
    <w:rsid w:val="00B41D69"/>
    <w:rsid w:val="00B42B9A"/>
    <w:rsid w:val="00B43BF0"/>
    <w:rsid w:val="00B44A7E"/>
    <w:rsid w:val="00B466B5"/>
    <w:rsid w:val="00B5030A"/>
    <w:rsid w:val="00B5135E"/>
    <w:rsid w:val="00B530AD"/>
    <w:rsid w:val="00B531CC"/>
    <w:rsid w:val="00B5481E"/>
    <w:rsid w:val="00B557BB"/>
    <w:rsid w:val="00B56E71"/>
    <w:rsid w:val="00B572F8"/>
    <w:rsid w:val="00B602DF"/>
    <w:rsid w:val="00B60394"/>
    <w:rsid w:val="00B61E7C"/>
    <w:rsid w:val="00B62371"/>
    <w:rsid w:val="00B645E4"/>
    <w:rsid w:val="00B64D22"/>
    <w:rsid w:val="00B65505"/>
    <w:rsid w:val="00B65982"/>
    <w:rsid w:val="00B666BF"/>
    <w:rsid w:val="00B67279"/>
    <w:rsid w:val="00B67F7D"/>
    <w:rsid w:val="00B70EC7"/>
    <w:rsid w:val="00B74158"/>
    <w:rsid w:val="00B743A9"/>
    <w:rsid w:val="00B752DD"/>
    <w:rsid w:val="00B76B0D"/>
    <w:rsid w:val="00B7728C"/>
    <w:rsid w:val="00B80151"/>
    <w:rsid w:val="00B802BD"/>
    <w:rsid w:val="00B808E9"/>
    <w:rsid w:val="00B811D0"/>
    <w:rsid w:val="00B82E51"/>
    <w:rsid w:val="00B83B3F"/>
    <w:rsid w:val="00B85D8A"/>
    <w:rsid w:val="00B86A7B"/>
    <w:rsid w:val="00B87593"/>
    <w:rsid w:val="00B920F6"/>
    <w:rsid w:val="00B9388E"/>
    <w:rsid w:val="00B949F9"/>
    <w:rsid w:val="00B95A8D"/>
    <w:rsid w:val="00B95D0F"/>
    <w:rsid w:val="00B960EF"/>
    <w:rsid w:val="00B9710E"/>
    <w:rsid w:val="00B972A2"/>
    <w:rsid w:val="00BA0B10"/>
    <w:rsid w:val="00BA2606"/>
    <w:rsid w:val="00BA366D"/>
    <w:rsid w:val="00BA36AB"/>
    <w:rsid w:val="00BA54F4"/>
    <w:rsid w:val="00BA55B9"/>
    <w:rsid w:val="00BA5D29"/>
    <w:rsid w:val="00BA5DDD"/>
    <w:rsid w:val="00BA65E3"/>
    <w:rsid w:val="00BA6C84"/>
    <w:rsid w:val="00BA7173"/>
    <w:rsid w:val="00BA7BD1"/>
    <w:rsid w:val="00BB1AEE"/>
    <w:rsid w:val="00BB5132"/>
    <w:rsid w:val="00BB748D"/>
    <w:rsid w:val="00BC0922"/>
    <w:rsid w:val="00BC1E5E"/>
    <w:rsid w:val="00BC3032"/>
    <w:rsid w:val="00BC4AB6"/>
    <w:rsid w:val="00BC62ED"/>
    <w:rsid w:val="00BC71AD"/>
    <w:rsid w:val="00BC7701"/>
    <w:rsid w:val="00BD1266"/>
    <w:rsid w:val="00BD1EE5"/>
    <w:rsid w:val="00BD46EB"/>
    <w:rsid w:val="00BD5B8A"/>
    <w:rsid w:val="00BD6C12"/>
    <w:rsid w:val="00BD702A"/>
    <w:rsid w:val="00BE0EDA"/>
    <w:rsid w:val="00BE11DD"/>
    <w:rsid w:val="00BE1850"/>
    <w:rsid w:val="00BE526C"/>
    <w:rsid w:val="00BE6FD1"/>
    <w:rsid w:val="00BF12C9"/>
    <w:rsid w:val="00BF19F0"/>
    <w:rsid w:val="00BF2363"/>
    <w:rsid w:val="00BF2513"/>
    <w:rsid w:val="00BF3CD1"/>
    <w:rsid w:val="00BF4690"/>
    <w:rsid w:val="00BF6A2D"/>
    <w:rsid w:val="00BF7973"/>
    <w:rsid w:val="00BF7C0C"/>
    <w:rsid w:val="00C03EB5"/>
    <w:rsid w:val="00C11BF5"/>
    <w:rsid w:val="00C12145"/>
    <w:rsid w:val="00C13E27"/>
    <w:rsid w:val="00C14485"/>
    <w:rsid w:val="00C14B00"/>
    <w:rsid w:val="00C156A8"/>
    <w:rsid w:val="00C161C0"/>
    <w:rsid w:val="00C20535"/>
    <w:rsid w:val="00C22291"/>
    <w:rsid w:val="00C22898"/>
    <w:rsid w:val="00C23259"/>
    <w:rsid w:val="00C23B8F"/>
    <w:rsid w:val="00C2570C"/>
    <w:rsid w:val="00C258C6"/>
    <w:rsid w:val="00C27BC8"/>
    <w:rsid w:val="00C30727"/>
    <w:rsid w:val="00C307A3"/>
    <w:rsid w:val="00C30C2D"/>
    <w:rsid w:val="00C3311E"/>
    <w:rsid w:val="00C36658"/>
    <w:rsid w:val="00C36ABB"/>
    <w:rsid w:val="00C401BC"/>
    <w:rsid w:val="00C4127E"/>
    <w:rsid w:val="00C4135A"/>
    <w:rsid w:val="00C42919"/>
    <w:rsid w:val="00C44EE1"/>
    <w:rsid w:val="00C44F85"/>
    <w:rsid w:val="00C462CB"/>
    <w:rsid w:val="00C4771C"/>
    <w:rsid w:val="00C512F2"/>
    <w:rsid w:val="00C51808"/>
    <w:rsid w:val="00C51F0D"/>
    <w:rsid w:val="00C55EBD"/>
    <w:rsid w:val="00C60CF5"/>
    <w:rsid w:val="00C63C8D"/>
    <w:rsid w:val="00C65A44"/>
    <w:rsid w:val="00C65C3A"/>
    <w:rsid w:val="00C65C9D"/>
    <w:rsid w:val="00C65F74"/>
    <w:rsid w:val="00C6653F"/>
    <w:rsid w:val="00C6728F"/>
    <w:rsid w:val="00C678DC"/>
    <w:rsid w:val="00C7055D"/>
    <w:rsid w:val="00C70681"/>
    <w:rsid w:val="00C7164B"/>
    <w:rsid w:val="00C71B54"/>
    <w:rsid w:val="00C72051"/>
    <w:rsid w:val="00C7229E"/>
    <w:rsid w:val="00C75DCB"/>
    <w:rsid w:val="00C763B1"/>
    <w:rsid w:val="00C7678A"/>
    <w:rsid w:val="00C811A7"/>
    <w:rsid w:val="00C81DFF"/>
    <w:rsid w:val="00C84AE8"/>
    <w:rsid w:val="00C85765"/>
    <w:rsid w:val="00C86168"/>
    <w:rsid w:val="00C90128"/>
    <w:rsid w:val="00C90326"/>
    <w:rsid w:val="00C92106"/>
    <w:rsid w:val="00C92ADB"/>
    <w:rsid w:val="00C9331A"/>
    <w:rsid w:val="00C9529E"/>
    <w:rsid w:val="00C95771"/>
    <w:rsid w:val="00CA038C"/>
    <w:rsid w:val="00CA27E6"/>
    <w:rsid w:val="00CA3136"/>
    <w:rsid w:val="00CA6440"/>
    <w:rsid w:val="00CA6FC6"/>
    <w:rsid w:val="00CA7815"/>
    <w:rsid w:val="00CA7FA1"/>
    <w:rsid w:val="00CB26A9"/>
    <w:rsid w:val="00CB3DC8"/>
    <w:rsid w:val="00CB4592"/>
    <w:rsid w:val="00CB7D37"/>
    <w:rsid w:val="00CC054F"/>
    <w:rsid w:val="00CC11F8"/>
    <w:rsid w:val="00CC14D7"/>
    <w:rsid w:val="00CC4743"/>
    <w:rsid w:val="00CC491F"/>
    <w:rsid w:val="00CC7128"/>
    <w:rsid w:val="00CD2995"/>
    <w:rsid w:val="00CD769E"/>
    <w:rsid w:val="00CE0367"/>
    <w:rsid w:val="00CE11CF"/>
    <w:rsid w:val="00CE131C"/>
    <w:rsid w:val="00CE4DE4"/>
    <w:rsid w:val="00CE6405"/>
    <w:rsid w:val="00CE7002"/>
    <w:rsid w:val="00CF082F"/>
    <w:rsid w:val="00CF11A0"/>
    <w:rsid w:val="00CF2081"/>
    <w:rsid w:val="00CF27E7"/>
    <w:rsid w:val="00CF2CC9"/>
    <w:rsid w:val="00CF2EC6"/>
    <w:rsid w:val="00CF4D16"/>
    <w:rsid w:val="00CF6282"/>
    <w:rsid w:val="00D00208"/>
    <w:rsid w:val="00D01B5B"/>
    <w:rsid w:val="00D03F85"/>
    <w:rsid w:val="00D04311"/>
    <w:rsid w:val="00D044C7"/>
    <w:rsid w:val="00D047E1"/>
    <w:rsid w:val="00D04D61"/>
    <w:rsid w:val="00D10A78"/>
    <w:rsid w:val="00D1397F"/>
    <w:rsid w:val="00D144D9"/>
    <w:rsid w:val="00D1556A"/>
    <w:rsid w:val="00D22939"/>
    <w:rsid w:val="00D22BDB"/>
    <w:rsid w:val="00D247B7"/>
    <w:rsid w:val="00D250BD"/>
    <w:rsid w:val="00D25209"/>
    <w:rsid w:val="00D25A32"/>
    <w:rsid w:val="00D25E69"/>
    <w:rsid w:val="00D30E75"/>
    <w:rsid w:val="00D31F3B"/>
    <w:rsid w:val="00D35E9C"/>
    <w:rsid w:val="00D362E3"/>
    <w:rsid w:val="00D3714B"/>
    <w:rsid w:val="00D3723D"/>
    <w:rsid w:val="00D41AE6"/>
    <w:rsid w:val="00D42E87"/>
    <w:rsid w:val="00D4384C"/>
    <w:rsid w:val="00D4423F"/>
    <w:rsid w:val="00D44D69"/>
    <w:rsid w:val="00D475B0"/>
    <w:rsid w:val="00D50A9D"/>
    <w:rsid w:val="00D50AAC"/>
    <w:rsid w:val="00D50CB4"/>
    <w:rsid w:val="00D53FE7"/>
    <w:rsid w:val="00D572F1"/>
    <w:rsid w:val="00D5741A"/>
    <w:rsid w:val="00D61741"/>
    <w:rsid w:val="00D620A5"/>
    <w:rsid w:val="00D62387"/>
    <w:rsid w:val="00D631EE"/>
    <w:rsid w:val="00D66661"/>
    <w:rsid w:val="00D67219"/>
    <w:rsid w:val="00D71B92"/>
    <w:rsid w:val="00D7269B"/>
    <w:rsid w:val="00D7393E"/>
    <w:rsid w:val="00D747CB"/>
    <w:rsid w:val="00D77200"/>
    <w:rsid w:val="00D81BEB"/>
    <w:rsid w:val="00D81D12"/>
    <w:rsid w:val="00D83331"/>
    <w:rsid w:val="00D8487D"/>
    <w:rsid w:val="00D85BA8"/>
    <w:rsid w:val="00D86DD3"/>
    <w:rsid w:val="00D901DA"/>
    <w:rsid w:val="00D907E0"/>
    <w:rsid w:val="00D910D2"/>
    <w:rsid w:val="00D91F0D"/>
    <w:rsid w:val="00D94978"/>
    <w:rsid w:val="00D97D36"/>
    <w:rsid w:val="00DA0A82"/>
    <w:rsid w:val="00DA13DE"/>
    <w:rsid w:val="00DA1E01"/>
    <w:rsid w:val="00DA3032"/>
    <w:rsid w:val="00DA3E4D"/>
    <w:rsid w:val="00DA408C"/>
    <w:rsid w:val="00DA53F2"/>
    <w:rsid w:val="00DB155D"/>
    <w:rsid w:val="00DB22FD"/>
    <w:rsid w:val="00DB5A6D"/>
    <w:rsid w:val="00DC26CF"/>
    <w:rsid w:val="00DC2A98"/>
    <w:rsid w:val="00DC2EC5"/>
    <w:rsid w:val="00DC3C84"/>
    <w:rsid w:val="00DC4BB3"/>
    <w:rsid w:val="00DC5B0B"/>
    <w:rsid w:val="00DC5C90"/>
    <w:rsid w:val="00DC60F2"/>
    <w:rsid w:val="00DD02A8"/>
    <w:rsid w:val="00DD08F9"/>
    <w:rsid w:val="00DD287A"/>
    <w:rsid w:val="00DD3BC9"/>
    <w:rsid w:val="00DD4F2C"/>
    <w:rsid w:val="00DD50E3"/>
    <w:rsid w:val="00DD5E0F"/>
    <w:rsid w:val="00DD62A3"/>
    <w:rsid w:val="00DE0094"/>
    <w:rsid w:val="00DE19F9"/>
    <w:rsid w:val="00DE29C0"/>
    <w:rsid w:val="00DE3E58"/>
    <w:rsid w:val="00DE5BEC"/>
    <w:rsid w:val="00DF05F2"/>
    <w:rsid w:val="00DF0674"/>
    <w:rsid w:val="00DF123B"/>
    <w:rsid w:val="00DF43C3"/>
    <w:rsid w:val="00DF4AD7"/>
    <w:rsid w:val="00DF76B8"/>
    <w:rsid w:val="00E00D95"/>
    <w:rsid w:val="00E03739"/>
    <w:rsid w:val="00E04934"/>
    <w:rsid w:val="00E05CAB"/>
    <w:rsid w:val="00E06CD2"/>
    <w:rsid w:val="00E0770D"/>
    <w:rsid w:val="00E07AB1"/>
    <w:rsid w:val="00E15D59"/>
    <w:rsid w:val="00E15F93"/>
    <w:rsid w:val="00E201A4"/>
    <w:rsid w:val="00E21CC2"/>
    <w:rsid w:val="00E252AD"/>
    <w:rsid w:val="00E30E33"/>
    <w:rsid w:val="00E318DB"/>
    <w:rsid w:val="00E3659C"/>
    <w:rsid w:val="00E36C9C"/>
    <w:rsid w:val="00E40E9F"/>
    <w:rsid w:val="00E41D91"/>
    <w:rsid w:val="00E42009"/>
    <w:rsid w:val="00E42C6A"/>
    <w:rsid w:val="00E43270"/>
    <w:rsid w:val="00E4776B"/>
    <w:rsid w:val="00E50663"/>
    <w:rsid w:val="00E51512"/>
    <w:rsid w:val="00E54764"/>
    <w:rsid w:val="00E5617A"/>
    <w:rsid w:val="00E565E2"/>
    <w:rsid w:val="00E60F81"/>
    <w:rsid w:val="00E61768"/>
    <w:rsid w:val="00E61BF6"/>
    <w:rsid w:val="00E62AA1"/>
    <w:rsid w:val="00E64D01"/>
    <w:rsid w:val="00E654D7"/>
    <w:rsid w:val="00E67CA3"/>
    <w:rsid w:val="00E70427"/>
    <w:rsid w:val="00E70E53"/>
    <w:rsid w:val="00E70F0F"/>
    <w:rsid w:val="00E72153"/>
    <w:rsid w:val="00E721DD"/>
    <w:rsid w:val="00E81E0D"/>
    <w:rsid w:val="00E843AE"/>
    <w:rsid w:val="00E856F1"/>
    <w:rsid w:val="00E91B19"/>
    <w:rsid w:val="00E94139"/>
    <w:rsid w:val="00E94239"/>
    <w:rsid w:val="00E95EAA"/>
    <w:rsid w:val="00E96E88"/>
    <w:rsid w:val="00E9716D"/>
    <w:rsid w:val="00E9720A"/>
    <w:rsid w:val="00E9773C"/>
    <w:rsid w:val="00E97FD4"/>
    <w:rsid w:val="00EA1A2C"/>
    <w:rsid w:val="00EA3DBC"/>
    <w:rsid w:val="00EA6AB0"/>
    <w:rsid w:val="00EB0EE8"/>
    <w:rsid w:val="00EB109D"/>
    <w:rsid w:val="00EB2AEA"/>
    <w:rsid w:val="00EB3630"/>
    <w:rsid w:val="00EB49C6"/>
    <w:rsid w:val="00EB5B7D"/>
    <w:rsid w:val="00EB5BE7"/>
    <w:rsid w:val="00EB699F"/>
    <w:rsid w:val="00EC0C4F"/>
    <w:rsid w:val="00EC0D5B"/>
    <w:rsid w:val="00EC62DF"/>
    <w:rsid w:val="00EC6313"/>
    <w:rsid w:val="00ED3392"/>
    <w:rsid w:val="00ED4434"/>
    <w:rsid w:val="00ED4C39"/>
    <w:rsid w:val="00ED4FAC"/>
    <w:rsid w:val="00ED6078"/>
    <w:rsid w:val="00EE0C88"/>
    <w:rsid w:val="00EE15B1"/>
    <w:rsid w:val="00EE639C"/>
    <w:rsid w:val="00EE6A9C"/>
    <w:rsid w:val="00EE6D8B"/>
    <w:rsid w:val="00EE77F5"/>
    <w:rsid w:val="00EF3258"/>
    <w:rsid w:val="00EF3458"/>
    <w:rsid w:val="00EF380E"/>
    <w:rsid w:val="00EF503E"/>
    <w:rsid w:val="00EF6E60"/>
    <w:rsid w:val="00F05302"/>
    <w:rsid w:val="00F05425"/>
    <w:rsid w:val="00F05428"/>
    <w:rsid w:val="00F113A4"/>
    <w:rsid w:val="00F13B7A"/>
    <w:rsid w:val="00F13FB3"/>
    <w:rsid w:val="00F142E4"/>
    <w:rsid w:val="00F17F74"/>
    <w:rsid w:val="00F20262"/>
    <w:rsid w:val="00F20500"/>
    <w:rsid w:val="00F2224C"/>
    <w:rsid w:val="00F22CF1"/>
    <w:rsid w:val="00F23B33"/>
    <w:rsid w:val="00F27360"/>
    <w:rsid w:val="00F3183E"/>
    <w:rsid w:val="00F31D62"/>
    <w:rsid w:val="00F3437F"/>
    <w:rsid w:val="00F358E2"/>
    <w:rsid w:val="00F3724F"/>
    <w:rsid w:val="00F405F4"/>
    <w:rsid w:val="00F42610"/>
    <w:rsid w:val="00F42A5D"/>
    <w:rsid w:val="00F43154"/>
    <w:rsid w:val="00F433A8"/>
    <w:rsid w:val="00F46BC1"/>
    <w:rsid w:val="00F51AA7"/>
    <w:rsid w:val="00F52A7F"/>
    <w:rsid w:val="00F539CE"/>
    <w:rsid w:val="00F55D29"/>
    <w:rsid w:val="00F568E7"/>
    <w:rsid w:val="00F6225E"/>
    <w:rsid w:val="00F6283C"/>
    <w:rsid w:val="00F645DA"/>
    <w:rsid w:val="00F649C7"/>
    <w:rsid w:val="00F662B4"/>
    <w:rsid w:val="00F668DD"/>
    <w:rsid w:val="00F678AB"/>
    <w:rsid w:val="00F67B0A"/>
    <w:rsid w:val="00F67BA2"/>
    <w:rsid w:val="00F71CD2"/>
    <w:rsid w:val="00F73E59"/>
    <w:rsid w:val="00F74966"/>
    <w:rsid w:val="00F778C8"/>
    <w:rsid w:val="00F77AE4"/>
    <w:rsid w:val="00F8405D"/>
    <w:rsid w:val="00F84F25"/>
    <w:rsid w:val="00F86BCC"/>
    <w:rsid w:val="00F86D46"/>
    <w:rsid w:val="00F86D85"/>
    <w:rsid w:val="00F87EEC"/>
    <w:rsid w:val="00F90CB9"/>
    <w:rsid w:val="00F91333"/>
    <w:rsid w:val="00F9164A"/>
    <w:rsid w:val="00F9314C"/>
    <w:rsid w:val="00F97C3D"/>
    <w:rsid w:val="00F97F62"/>
    <w:rsid w:val="00FA0867"/>
    <w:rsid w:val="00FA0919"/>
    <w:rsid w:val="00FA26E8"/>
    <w:rsid w:val="00FA3598"/>
    <w:rsid w:val="00FA4A1A"/>
    <w:rsid w:val="00FA4B80"/>
    <w:rsid w:val="00FA5515"/>
    <w:rsid w:val="00FA64FA"/>
    <w:rsid w:val="00FA7614"/>
    <w:rsid w:val="00FA7C9E"/>
    <w:rsid w:val="00FB0186"/>
    <w:rsid w:val="00FB0377"/>
    <w:rsid w:val="00FB15A9"/>
    <w:rsid w:val="00FB2023"/>
    <w:rsid w:val="00FB46C0"/>
    <w:rsid w:val="00FB6852"/>
    <w:rsid w:val="00FC1E84"/>
    <w:rsid w:val="00FC4F50"/>
    <w:rsid w:val="00FD0848"/>
    <w:rsid w:val="00FD0F3D"/>
    <w:rsid w:val="00FD5614"/>
    <w:rsid w:val="00FD57F6"/>
    <w:rsid w:val="00FD6894"/>
    <w:rsid w:val="00FE09F2"/>
    <w:rsid w:val="00FE0D5E"/>
    <w:rsid w:val="00FE2814"/>
    <w:rsid w:val="00FE501A"/>
    <w:rsid w:val="00FE518D"/>
    <w:rsid w:val="00FE7AAB"/>
    <w:rsid w:val="00FE7BD4"/>
    <w:rsid w:val="00FE7E45"/>
    <w:rsid w:val="00FF0C91"/>
    <w:rsid w:val="00FF1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7964"/>
  <w15:docId w15:val="{8448DC8F-A1D0-4629-9261-9C504D7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w w:val="102"/>
        <w:lang w:val="es-ES" w:eastAsia="en-US" w:bidi="ar-SA"/>
      </w:rPr>
    </w:rPrDefault>
    <w:pPrDefault>
      <w:pPr>
        <w:spacing w:before="160"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1C"/>
  </w:style>
  <w:style w:type="paragraph" w:styleId="Ttulo1">
    <w:name w:val="heading 1"/>
    <w:basedOn w:val="Normal"/>
    <w:next w:val="Normal"/>
    <w:link w:val="Ttulo1Car"/>
    <w:uiPriority w:val="9"/>
    <w:qFormat/>
    <w:rsid w:val="00332660"/>
    <w:pPr>
      <w:keepNext/>
      <w:keepLines/>
      <w:numPr>
        <w:numId w:val="1"/>
      </w:numPr>
      <w:spacing w:before="280" w:after="280" w:line="312" w:lineRule="auto"/>
      <w:outlineLvl w:val="0"/>
    </w:pPr>
    <w:rPr>
      <w:rFonts w:eastAsiaTheme="majorEastAsia" w:cstheme="majorBidi"/>
      <w:b/>
      <w:bCs/>
      <w:caps/>
      <w:color w:val="262626" w:themeColor="text1" w:themeTint="D9"/>
      <w:sz w:val="18"/>
      <w:szCs w:val="28"/>
    </w:rPr>
  </w:style>
  <w:style w:type="paragraph" w:styleId="Ttulo2">
    <w:name w:val="heading 2"/>
    <w:basedOn w:val="Normal"/>
    <w:next w:val="Normal"/>
    <w:link w:val="Ttulo2Car"/>
    <w:uiPriority w:val="9"/>
    <w:unhideWhenUsed/>
    <w:qFormat/>
    <w:rsid w:val="00FE518D"/>
    <w:pPr>
      <w:keepNext/>
      <w:keepLines/>
      <w:numPr>
        <w:numId w:val="2"/>
      </w:numPr>
      <w:spacing w:before="240" w:after="240" w:line="312" w:lineRule="auto"/>
      <w:ind w:left="426"/>
      <w:outlineLvl w:val="1"/>
    </w:pPr>
    <w:rPr>
      <w:rFonts w:eastAsiaTheme="majorEastAsia" w:cstheme="majorBidi"/>
      <w:b/>
      <w:bCs/>
      <w:smallCaps/>
      <w:color w:val="262626" w:themeColor="text1" w:themeTint="D9"/>
      <w:szCs w:val="26"/>
    </w:rPr>
  </w:style>
  <w:style w:type="paragraph" w:styleId="Ttulo3">
    <w:name w:val="heading 3"/>
    <w:basedOn w:val="Normal"/>
    <w:next w:val="Normal"/>
    <w:link w:val="Ttulo3Car"/>
    <w:uiPriority w:val="9"/>
    <w:unhideWhenUsed/>
    <w:qFormat/>
    <w:rsid w:val="00FE518D"/>
    <w:pPr>
      <w:numPr>
        <w:numId w:val="3"/>
      </w:numPr>
      <w:spacing w:before="240" w:after="240" w:line="312" w:lineRule="auto"/>
      <w:ind w:left="426"/>
      <w:outlineLvl w:val="2"/>
    </w:pPr>
    <w:rPr>
      <w:b/>
      <w:color w:val="262626" w:themeColor="text1" w:themeTint="D9"/>
      <w:u w:val="single"/>
    </w:rPr>
  </w:style>
  <w:style w:type="paragraph" w:styleId="Ttulo4">
    <w:name w:val="heading 4"/>
    <w:basedOn w:val="Normal"/>
    <w:next w:val="Normal"/>
    <w:link w:val="Ttulo4Car"/>
    <w:uiPriority w:val="9"/>
    <w:unhideWhenUsed/>
    <w:qFormat/>
    <w:rsid w:val="009C6C1B"/>
    <w:pPr>
      <w:keepNext/>
      <w:keepLines/>
      <w:numPr>
        <w:numId w:val="4"/>
      </w:numPr>
      <w:spacing w:before="240" w:after="240" w:line="312" w:lineRule="auto"/>
      <w:ind w:left="426"/>
      <w:outlineLvl w:val="3"/>
    </w:pPr>
    <w:rPr>
      <w:rFonts w:eastAsiaTheme="majorEastAsia" w:cstheme="majorBidi"/>
      <w:b/>
      <w:bCs/>
      <w:iCs/>
      <w:color w:val="262626" w:themeColor="text1" w:themeTint="D9"/>
    </w:rPr>
  </w:style>
  <w:style w:type="paragraph" w:styleId="Ttulo5">
    <w:name w:val="heading 5"/>
    <w:basedOn w:val="Normal"/>
    <w:next w:val="Normal"/>
    <w:link w:val="Ttulo5Car"/>
    <w:uiPriority w:val="9"/>
    <w:unhideWhenUsed/>
    <w:qFormat/>
    <w:rsid w:val="009C6C1B"/>
    <w:pPr>
      <w:keepNext/>
      <w:keepLines/>
      <w:numPr>
        <w:numId w:val="5"/>
      </w:numPr>
      <w:spacing w:before="240" w:after="240" w:line="312" w:lineRule="auto"/>
      <w:ind w:left="426"/>
      <w:outlineLvl w:val="4"/>
    </w:pPr>
    <w:rPr>
      <w:rFonts w:eastAsiaTheme="majorEastAsia" w:cstheme="majorBidi"/>
      <w:color w:val="0D0D0D" w:themeColor="text1" w:themeTint="F2"/>
      <w:u w:val="word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E0EDA"/>
    <w:pPr>
      <w:spacing w:before="320" w:after="320" w:line="312" w:lineRule="auto"/>
      <w:jc w:val="center"/>
    </w:pPr>
    <w:rPr>
      <w:rFonts w:eastAsiaTheme="majorEastAsia" w:cstheme="majorBidi"/>
      <w:b/>
      <w:caps/>
      <w:spacing w:val="5"/>
      <w:kern w:val="28"/>
      <w:szCs w:val="52"/>
      <w:u w:val="single"/>
    </w:rPr>
  </w:style>
  <w:style w:type="character" w:customStyle="1" w:styleId="TtuloCar">
    <w:name w:val="Título Car"/>
    <w:basedOn w:val="Fuentedeprrafopredeter"/>
    <w:link w:val="Ttulo"/>
    <w:uiPriority w:val="10"/>
    <w:rsid w:val="00BE0EDA"/>
    <w:rPr>
      <w:rFonts w:eastAsiaTheme="majorEastAsia" w:cstheme="majorBidi"/>
      <w:b/>
      <w:caps/>
      <w:spacing w:val="5"/>
      <w:kern w:val="28"/>
      <w:sz w:val="19"/>
      <w:szCs w:val="52"/>
      <w:u w:val="single"/>
    </w:rPr>
  </w:style>
  <w:style w:type="character" w:customStyle="1" w:styleId="Ttulo1Car">
    <w:name w:val="Título 1 Car"/>
    <w:basedOn w:val="Fuentedeprrafopredeter"/>
    <w:link w:val="Ttulo1"/>
    <w:uiPriority w:val="9"/>
    <w:rsid w:val="00332660"/>
    <w:rPr>
      <w:rFonts w:eastAsiaTheme="majorEastAsia" w:cstheme="majorBidi"/>
      <w:b/>
      <w:bCs/>
      <w:caps/>
      <w:color w:val="262626" w:themeColor="text1" w:themeTint="D9"/>
      <w:sz w:val="18"/>
      <w:szCs w:val="28"/>
    </w:rPr>
  </w:style>
  <w:style w:type="paragraph" w:styleId="Encabezado">
    <w:name w:val="header"/>
    <w:basedOn w:val="Normal"/>
    <w:link w:val="EncabezadoCar"/>
    <w:uiPriority w:val="99"/>
    <w:unhideWhenUsed/>
    <w:rsid w:val="008804BD"/>
    <w:pPr>
      <w:tabs>
        <w:tab w:val="center" w:pos="4252"/>
        <w:tab w:val="right" w:pos="8504"/>
      </w:tabs>
      <w:spacing w:before="0" w:after="0" w:line="240" w:lineRule="auto"/>
      <w:jc w:val="right"/>
    </w:pPr>
    <w:rPr>
      <w:b/>
      <w:caps/>
      <w:color w:val="632423" w:themeColor="accent2" w:themeShade="80"/>
      <w:sz w:val="18"/>
    </w:rPr>
  </w:style>
  <w:style w:type="character" w:customStyle="1" w:styleId="EncabezadoCar">
    <w:name w:val="Encabezado Car"/>
    <w:basedOn w:val="Fuentedeprrafopredeter"/>
    <w:link w:val="Encabezado"/>
    <w:uiPriority w:val="99"/>
    <w:rsid w:val="008804BD"/>
    <w:rPr>
      <w:b/>
      <w:caps/>
      <w:color w:val="632423" w:themeColor="accent2" w:themeShade="80"/>
      <w:sz w:val="18"/>
    </w:rPr>
  </w:style>
  <w:style w:type="paragraph" w:styleId="Piedepgina">
    <w:name w:val="footer"/>
    <w:basedOn w:val="Normal"/>
    <w:link w:val="PiedepginaCar"/>
    <w:uiPriority w:val="99"/>
    <w:unhideWhenUsed/>
    <w:rsid w:val="00D91F0D"/>
    <w:pPr>
      <w:tabs>
        <w:tab w:val="center" w:pos="4252"/>
        <w:tab w:val="right" w:pos="8504"/>
      </w:tabs>
      <w:spacing w:before="120" w:after="120" w:line="240" w:lineRule="auto"/>
    </w:pPr>
    <w:rPr>
      <w:sz w:val="16"/>
    </w:rPr>
  </w:style>
  <w:style w:type="character" w:customStyle="1" w:styleId="PiedepginaCar">
    <w:name w:val="Pie de página Car"/>
    <w:basedOn w:val="Fuentedeprrafopredeter"/>
    <w:link w:val="Piedepgina"/>
    <w:uiPriority w:val="99"/>
    <w:rsid w:val="00D91F0D"/>
    <w:rPr>
      <w:sz w:val="16"/>
    </w:rPr>
  </w:style>
  <w:style w:type="character" w:customStyle="1" w:styleId="Ttulo2Car">
    <w:name w:val="Título 2 Car"/>
    <w:basedOn w:val="Fuentedeprrafopredeter"/>
    <w:link w:val="Ttulo2"/>
    <w:uiPriority w:val="9"/>
    <w:rsid w:val="00FE518D"/>
    <w:rPr>
      <w:rFonts w:eastAsiaTheme="majorEastAsia" w:cstheme="majorBidi"/>
      <w:b/>
      <w:bCs/>
      <w:smallCaps/>
      <w:color w:val="262626" w:themeColor="text1" w:themeTint="D9"/>
      <w:sz w:val="19"/>
      <w:szCs w:val="26"/>
    </w:rPr>
  </w:style>
  <w:style w:type="character" w:customStyle="1" w:styleId="Ttulo3Car">
    <w:name w:val="Título 3 Car"/>
    <w:basedOn w:val="Fuentedeprrafopredeter"/>
    <w:link w:val="Ttulo3"/>
    <w:uiPriority w:val="9"/>
    <w:rsid w:val="00FE518D"/>
    <w:rPr>
      <w:b/>
      <w:color w:val="262626" w:themeColor="text1" w:themeTint="D9"/>
      <w:sz w:val="19"/>
      <w:u w:val="single"/>
    </w:rPr>
  </w:style>
  <w:style w:type="character" w:customStyle="1" w:styleId="Ttulo4Car">
    <w:name w:val="Título 4 Car"/>
    <w:basedOn w:val="Fuentedeprrafopredeter"/>
    <w:link w:val="Ttulo4"/>
    <w:uiPriority w:val="9"/>
    <w:rsid w:val="009C6C1B"/>
    <w:rPr>
      <w:rFonts w:eastAsiaTheme="majorEastAsia" w:cstheme="majorBidi"/>
      <w:b/>
      <w:bCs/>
      <w:iCs/>
      <w:color w:val="262626" w:themeColor="text1" w:themeTint="D9"/>
      <w:sz w:val="19"/>
    </w:rPr>
  </w:style>
  <w:style w:type="character" w:customStyle="1" w:styleId="Ttulo5Car">
    <w:name w:val="Título 5 Car"/>
    <w:basedOn w:val="Fuentedeprrafopredeter"/>
    <w:link w:val="Ttulo5"/>
    <w:uiPriority w:val="9"/>
    <w:rsid w:val="009C6C1B"/>
    <w:rPr>
      <w:rFonts w:eastAsiaTheme="majorEastAsia" w:cstheme="majorBidi"/>
      <w:color w:val="0D0D0D" w:themeColor="text1" w:themeTint="F2"/>
      <w:sz w:val="19"/>
      <w:u w:val="words"/>
    </w:rPr>
  </w:style>
  <w:style w:type="paragraph" w:styleId="Subttulo">
    <w:name w:val="Subtitle"/>
    <w:aliases w:val="Referencia"/>
    <w:basedOn w:val="Normal"/>
    <w:next w:val="Normal"/>
    <w:link w:val="SubttuloCar"/>
    <w:uiPriority w:val="11"/>
    <w:qFormat/>
    <w:rsid w:val="009C6C1B"/>
    <w:pPr>
      <w:numPr>
        <w:ilvl w:val="1"/>
      </w:numPr>
      <w:spacing w:before="0" w:after="0" w:line="240" w:lineRule="auto"/>
    </w:pPr>
    <w:rPr>
      <w:rFonts w:eastAsiaTheme="majorEastAsia" w:cstheme="majorBidi"/>
      <w:iCs/>
      <w:spacing w:val="15"/>
      <w:sz w:val="17"/>
      <w:szCs w:val="24"/>
    </w:rPr>
  </w:style>
  <w:style w:type="character" w:customStyle="1" w:styleId="SubttuloCar">
    <w:name w:val="Subtítulo Car"/>
    <w:aliases w:val="Referencia Car"/>
    <w:basedOn w:val="Fuentedeprrafopredeter"/>
    <w:link w:val="Subttulo"/>
    <w:uiPriority w:val="11"/>
    <w:rsid w:val="009C6C1B"/>
    <w:rPr>
      <w:rFonts w:eastAsiaTheme="majorEastAsia" w:cstheme="majorBidi"/>
      <w:iCs/>
      <w:spacing w:val="15"/>
      <w:sz w:val="17"/>
      <w:szCs w:val="24"/>
    </w:rPr>
  </w:style>
  <w:style w:type="paragraph" w:styleId="Cita">
    <w:name w:val="Quote"/>
    <w:basedOn w:val="Normal"/>
    <w:next w:val="Normal"/>
    <w:link w:val="CitaCar"/>
    <w:uiPriority w:val="29"/>
    <w:qFormat/>
    <w:rsid w:val="00B65505"/>
    <w:pPr>
      <w:spacing w:line="312" w:lineRule="auto"/>
      <w:ind w:left="709"/>
    </w:pPr>
    <w:rPr>
      <w:i/>
      <w:iCs/>
      <w:color w:val="000000" w:themeColor="text1"/>
      <w:sz w:val="18"/>
    </w:rPr>
  </w:style>
  <w:style w:type="character" w:customStyle="1" w:styleId="CitaCar">
    <w:name w:val="Cita Car"/>
    <w:basedOn w:val="Fuentedeprrafopredeter"/>
    <w:link w:val="Cita"/>
    <w:uiPriority w:val="29"/>
    <w:rsid w:val="00B65505"/>
    <w:rPr>
      <w:i/>
      <w:iCs/>
      <w:color w:val="000000" w:themeColor="text1"/>
      <w:sz w:val="18"/>
    </w:rPr>
  </w:style>
  <w:style w:type="paragraph" w:customStyle="1" w:styleId="NUMERADO">
    <w:name w:val="NUMERADO"/>
    <w:basedOn w:val="Normal"/>
    <w:qFormat/>
    <w:rsid w:val="00B65505"/>
    <w:pPr>
      <w:numPr>
        <w:numId w:val="6"/>
      </w:numPr>
      <w:ind w:left="0"/>
    </w:pPr>
  </w:style>
  <w:style w:type="paragraph" w:customStyle="1" w:styleId="Romanilloexterior">
    <w:name w:val="Romanillo exterior"/>
    <w:basedOn w:val="Normal"/>
    <w:qFormat/>
    <w:rsid w:val="00D91F0D"/>
    <w:pPr>
      <w:numPr>
        <w:numId w:val="7"/>
      </w:numPr>
      <w:ind w:left="360"/>
    </w:pPr>
  </w:style>
  <w:style w:type="paragraph" w:customStyle="1" w:styleId="Romanillointerior">
    <w:name w:val="Romanillo interior"/>
    <w:basedOn w:val="Normal"/>
    <w:qFormat/>
    <w:rsid w:val="00D91F0D"/>
    <w:pPr>
      <w:numPr>
        <w:numId w:val="8"/>
      </w:numPr>
    </w:pPr>
  </w:style>
  <w:style w:type="paragraph" w:customStyle="1" w:styleId="Letrasexterior">
    <w:name w:val="Letras exterior"/>
    <w:basedOn w:val="Normal"/>
    <w:qFormat/>
    <w:rsid w:val="00D91F0D"/>
    <w:pPr>
      <w:numPr>
        <w:numId w:val="9"/>
      </w:numPr>
      <w:ind w:left="360"/>
    </w:pPr>
  </w:style>
  <w:style w:type="paragraph" w:customStyle="1" w:styleId="Letrasinterior">
    <w:name w:val="Letras interior"/>
    <w:basedOn w:val="Normal"/>
    <w:qFormat/>
    <w:rsid w:val="00D91F0D"/>
    <w:pPr>
      <w:numPr>
        <w:numId w:val="10"/>
      </w:numPr>
    </w:pPr>
  </w:style>
  <w:style w:type="paragraph" w:customStyle="1" w:styleId="Firma1">
    <w:name w:val="Firma1"/>
    <w:basedOn w:val="Normal"/>
    <w:qFormat/>
    <w:rsid w:val="00D91F0D"/>
    <w:pPr>
      <w:spacing w:before="0" w:after="0" w:line="240" w:lineRule="auto"/>
    </w:pPr>
    <w:rPr>
      <w:sz w:val="18"/>
    </w:rPr>
  </w:style>
  <w:style w:type="paragraph" w:styleId="Prrafodelista">
    <w:name w:val="List Paragraph"/>
    <w:basedOn w:val="Normal"/>
    <w:uiPriority w:val="34"/>
    <w:qFormat/>
    <w:rsid w:val="003163E9"/>
    <w:pPr>
      <w:ind w:left="720"/>
      <w:contextualSpacing/>
    </w:pPr>
  </w:style>
  <w:style w:type="character" w:styleId="Hipervnculo">
    <w:name w:val="Hyperlink"/>
    <w:basedOn w:val="Fuentedeprrafopredeter"/>
    <w:uiPriority w:val="99"/>
    <w:unhideWhenUsed/>
    <w:rsid w:val="0054389B"/>
    <w:rPr>
      <w:color w:val="0000FF" w:themeColor="hyperlink"/>
      <w:u w:val="single"/>
    </w:rPr>
  </w:style>
  <w:style w:type="character" w:styleId="Mencinsinresolver">
    <w:name w:val="Unresolved Mention"/>
    <w:basedOn w:val="Fuentedeprrafopredeter"/>
    <w:uiPriority w:val="99"/>
    <w:semiHidden/>
    <w:unhideWhenUsed/>
    <w:rsid w:val="0054389B"/>
    <w:rPr>
      <w:color w:val="605E5C"/>
      <w:shd w:val="clear" w:color="auto" w:fill="E1DFDD"/>
    </w:rPr>
  </w:style>
  <w:style w:type="character" w:customStyle="1" w:styleId="ca">
    <w:name w:val="ca"/>
    <w:basedOn w:val="Fuentedeprrafopredeter"/>
    <w:rsid w:val="0050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230390">
      <w:bodyDiv w:val="1"/>
      <w:marLeft w:val="0"/>
      <w:marRight w:val="0"/>
      <w:marTop w:val="0"/>
      <w:marBottom w:val="0"/>
      <w:divBdr>
        <w:top w:val="none" w:sz="0" w:space="0" w:color="auto"/>
        <w:left w:val="none" w:sz="0" w:space="0" w:color="auto"/>
        <w:bottom w:val="none" w:sz="0" w:space="0" w:color="auto"/>
        <w:right w:val="none" w:sz="0" w:space="0" w:color="auto"/>
      </w:divBdr>
    </w:div>
    <w:div w:id="1472744380">
      <w:bodyDiv w:val="1"/>
      <w:marLeft w:val="0"/>
      <w:marRight w:val="0"/>
      <w:marTop w:val="0"/>
      <w:marBottom w:val="0"/>
      <w:divBdr>
        <w:top w:val="none" w:sz="0" w:space="0" w:color="auto"/>
        <w:left w:val="none" w:sz="0" w:space="0" w:color="auto"/>
        <w:bottom w:val="none" w:sz="0" w:space="0" w:color="auto"/>
        <w:right w:val="none" w:sz="0" w:space="0" w:color="auto"/>
      </w:divBdr>
      <w:divsChild>
        <w:div w:id="555896273">
          <w:marLeft w:val="0"/>
          <w:marRight w:val="0"/>
          <w:marTop w:val="0"/>
          <w:marBottom w:val="0"/>
          <w:divBdr>
            <w:top w:val="none" w:sz="0" w:space="0" w:color="auto"/>
            <w:left w:val="none" w:sz="0" w:space="0" w:color="auto"/>
            <w:bottom w:val="none" w:sz="0" w:space="0" w:color="auto"/>
            <w:right w:val="none" w:sz="0" w:space="0" w:color="auto"/>
          </w:divBdr>
        </w:div>
      </w:divsChild>
    </w:div>
    <w:div w:id="19778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ede.madrid.es/FrameWork/generacionPDF/ANM2024_154.pdf?idNormativa=78f367b761044910VgnVCM1000001d4a900aRCRD&amp;nombreFichero=ANM2024_154&amp;cacheKey=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riz.RuizHerrero\OneDrive%20-%20EY\Desktop\Plantillas\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C:\Users\Beatriz.RuizHerrero\OneDrive - EY\Desktop\Plantillas\Template1.dotx</Template>
  <TotalTime>1</TotalTime>
  <Pages>5</Pages>
  <Words>9422</Words>
  <Characters>47909</Characters>
  <Application>Microsoft Office Word</Application>
  <DocSecurity>0</DocSecurity>
  <Lines>716</Lines>
  <Paragraphs>140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José Antonio Álvarez López</cp:lastModifiedBy>
  <cp:revision>4</cp:revision>
  <dcterms:created xsi:type="dcterms:W3CDTF">2025-10-29T19:04:00Z</dcterms:created>
  <dcterms:modified xsi:type="dcterms:W3CDTF">2025-10-29T20:19:00Z</dcterms:modified>
  <cp:category/>
</cp:coreProperties>
</file>